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widowControl/>
        <w:shd w:val="clear" w:color="auto" w:fill="FFFFFF"/>
        <w:jc w:val="center"/>
        <w:rPr>
          <w:rFonts w:hint="eastAsia" w:ascii="方正小标宋简体" w:hAnsi="方正小标宋简体" w:eastAsia="方正小标宋简体" w:cs="方正小标宋简体"/>
          <w:b w:val="0"/>
          <w:bCs w:val="0"/>
          <w:kern w:val="0"/>
          <w:sz w:val="44"/>
          <w:szCs w:val="44"/>
        </w:rPr>
      </w:pPr>
      <w:r>
        <w:rPr>
          <w:rFonts w:hint="eastAsia" w:ascii="方正小标宋简体" w:hAnsi="方正小标宋简体" w:eastAsia="方正小标宋简体" w:cs="方正小标宋简体"/>
          <w:b w:val="0"/>
          <w:bCs w:val="0"/>
          <w:kern w:val="0"/>
          <w:sz w:val="44"/>
          <w:szCs w:val="44"/>
        </w:rPr>
        <w:t>天津市气象部门</w:t>
      </w:r>
    </w:p>
    <w:p>
      <w:pPr>
        <w:widowControl/>
        <w:shd w:val="clear" w:color="auto" w:fill="FFFFFF"/>
        <w:jc w:val="center"/>
        <w:rPr>
          <w:rFonts w:hint="eastAsia" w:ascii="方正小标宋简体" w:hAnsi="方正小标宋简体" w:eastAsia="方正小标宋简体" w:cs="方正小标宋简体"/>
          <w:b w:val="0"/>
          <w:bCs w:val="0"/>
          <w:kern w:val="0"/>
          <w:sz w:val="44"/>
          <w:szCs w:val="44"/>
        </w:rPr>
      </w:pPr>
      <w:r>
        <w:rPr>
          <w:rFonts w:hint="eastAsia" w:ascii="方正小标宋简体" w:hAnsi="方正小标宋简体" w:eastAsia="方正小标宋简体" w:cs="方正小标宋简体"/>
          <w:b w:val="0"/>
          <w:bCs w:val="0"/>
          <w:kern w:val="0"/>
          <w:sz w:val="44"/>
          <w:szCs w:val="44"/>
        </w:rPr>
        <w:t>202</w:t>
      </w:r>
      <w:r>
        <w:rPr>
          <w:rFonts w:hint="eastAsia" w:ascii="方正小标宋简体" w:hAnsi="方正小标宋简体" w:eastAsia="方正小标宋简体" w:cs="方正小标宋简体"/>
          <w:b w:val="0"/>
          <w:bCs w:val="0"/>
          <w:kern w:val="0"/>
          <w:sz w:val="44"/>
          <w:szCs w:val="44"/>
          <w:lang w:val="en-US" w:eastAsia="zh-CN"/>
        </w:rPr>
        <w:t>3</w:t>
      </w:r>
      <w:r>
        <w:rPr>
          <w:rFonts w:hint="eastAsia" w:ascii="方正小标宋简体" w:hAnsi="方正小标宋简体" w:eastAsia="方正小标宋简体" w:cs="方正小标宋简体"/>
          <w:b w:val="0"/>
          <w:bCs w:val="0"/>
          <w:kern w:val="0"/>
          <w:sz w:val="44"/>
          <w:szCs w:val="44"/>
        </w:rPr>
        <w:t>年政府信息公开工作年度报告</w:t>
      </w:r>
    </w:p>
    <w:p>
      <w:pPr>
        <w:widowControl/>
        <w:shd w:val="clear" w:color="auto" w:fill="FFFFFF"/>
        <w:ind w:firstLine="480"/>
        <w:rPr>
          <w:rFonts w:ascii="宋体" w:hAnsi="宋体" w:cs="宋体"/>
          <w:kern w:val="0"/>
          <w:sz w:val="24"/>
          <w:szCs w:val="24"/>
        </w:rPr>
      </w:pP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482"/>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本报告是根据《中华人民共和国政府信息公开条例》（以下称《条例》）、《国务院办公厅政府信息与政务公开办公室关于工作年度报告有关事项的通知》和中国气象局有关要求编制。本报告包括总体情况、主动公开政府信息情况、收到和处理政府信息公开申请情况、政府信息公开行政复议、行政诉讼情况、存在的主要问题及改进情况等方面。</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482"/>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本报告中所列数据的统计期限自202</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年1月1日起至202</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年12月31日止。本报告的电子版可以在天津市气象局网站下载。如对本年度报告有任何疑问，请与天津市气象局办公室联系（地址：天津市河西区气象台路100号；邮编：300074；联系电话：022-23345802）。</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482"/>
        <w:textAlignment w:val="auto"/>
        <w:rPr>
          <w:rFonts w:hint="eastAsia" w:ascii="黑体" w:hAnsi="黑体" w:eastAsia="黑体" w:cs="黑体"/>
          <w:kern w:val="0"/>
          <w:sz w:val="32"/>
          <w:szCs w:val="32"/>
        </w:rPr>
      </w:pPr>
      <w:r>
        <w:rPr>
          <w:rFonts w:hint="eastAsia" w:ascii="黑体" w:hAnsi="黑体" w:eastAsia="黑体" w:cs="黑体"/>
          <w:bCs/>
          <w:kern w:val="0"/>
          <w:sz w:val="32"/>
          <w:szCs w:val="32"/>
        </w:rPr>
        <w:t>一、总体情况</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482"/>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202</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年，天津市气象局以习近平新时代中国特色社会主义思想为指导，认真学习贯彻党的</w:t>
      </w:r>
      <w:r>
        <w:rPr>
          <w:rFonts w:hint="eastAsia" w:ascii="仿宋_GB2312" w:hAnsi="仿宋_GB2312" w:eastAsia="仿宋_GB2312" w:cs="仿宋_GB2312"/>
          <w:kern w:val="0"/>
          <w:sz w:val="32"/>
          <w:szCs w:val="32"/>
          <w:lang w:eastAsia="zh-CN"/>
        </w:rPr>
        <w:t>二十</w:t>
      </w:r>
      <w:r>
        <w:rPr>
          <w:rFonts w:hint="eastAsia" w:ascii="仿宋_GB2312" w:hAnsi="仿宋_GB2312" w:eastAsia="仿宋_GB2312" w:cs="仿宋_GB2312"/>
          <w:kern w:val="0"/>
          <w:sz w:val="32"/>
          <w:szCs w:val="32"/>
        </w:rPr>
        <w:t>大精神，落实中国气象局、市委市政府关于政务公开工作的部署，紧紧围绕全市气象部门中心工作和公众对气象工作的关切，坚持统筹兼顾、突出重点，着力提升政务公开质量，全市气象部门政府信息公开工作质量和水平得到不断提升。</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482"/>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（一）强化政务公开工作组织领导</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482"/>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天津市气象局高度重视政府信息公开工作，一是及时传达贯彻中国气象局政府信息公开工作有关文件精神，研究部署政府信息公开工作，建立了分管领导主抓、办公室具体负责、各处室密切配合的工作机制；二是加强政务公开与气象</w:t>
      </w:r>
      <w:r>
        <w:rPr>
          <w:rFonts w:hint="eastAsia" w:ascii="仿宋_GB2312" w:hAnsi="仿宋_GB2312" w:eastAsia="仿宋_GB2312" w:cs="仿宋_GB2312"/>
          <w:kern w:val="0"/>
          <w:sz w:val="32"/>
          <w:szCs w:val="32"/>
          <w:lang w:eastAsia="zh-CN"/>
        </w:rPr>
        <w:t>高质量建设</w:t>
      </w:r>
      <w:r>
        <w:rPr>
          <w:rFonts w:hint="eastAsia" w:ascii="仿宋_GB2312" w:hAnsi="仿宋_GB2312" w:eastAsia="仿宋_GB2312" w:cs="仿宋_GB2312"/>
          <w:kern w:val="0"/>
          <w:sz w:val="32"/>
          <w:szCs w:val="32"/>
        </w:rPr>
        <w:t>、机关效能、依法行政等相关工作的协同配合，多措并举推进政务公开工作水平稳步提升；三是结合工作实际进一步完善政府信息公开指南内容，细化公开范围和目录，方便公众查阅和获取；四是督促强化保密审查工作，切实落实保密审查责任，有效保障了国家秘密安全。</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482"/>
        <w:textAlignment w:val="auto"/>
        <w:rPr>
          <w:rFonts w:hint="eastAsia" w:ascii="楷体_GB2312" w:hAnsi="楷体_GB2312" w:eastAsia="楷体_GB2312" w:cs="楷体_GB2312"/>
          <w:kern w:val="0"/>
          <w:sz w:val="32"/>
          <w:szCs w:val="32"/>
          <w:lang w:eastAsia="zh-CN"/>
        </w:rPr>
      </w:pPr>
      <w:r>
        <w:rPr>
          <w:rFonts w:hint="eastAsia" w:ascii="楷体_GB2312" w:hAnsi="楷体_GB2312" w:eastAsia="楷体_GB2312" w:cs="楷体_GB2312"/>
          <w:kern w:val="0"/>
          <w:sz w:val="32"/>
          <w:szCs w:val="32"/>
        </w:rPr>
        <w:t>（二）公开的主要内容和形式</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482"/>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2023年以来，天津市气象局通过门户网站、新闻媒体、新媒体、新闻发布会等多种渠道，广泛公开我市气象部门相关部门概况、领导信息、公开办法、公开指南、公开目录、权责清单、公共服务、公众留言、局长信箱等内容，并积极回应社会关切，及时发布社会企业和群众所需的相关信息。</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482"/>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1.部门网站</w:t>
      </w:r>
      <w:r>
        <w:rPr>
          <w:rFonts w:hint="eastAsia" w:ascii="仿宋_GB2312" w:hAnsi="仿宋_GB2312" w:eastAsia="仿宋_GB2312" w:cs="仿宋_GB2312"/>
          <w:kern w:val="0"/>
          <w:sz w:val="32"/>
          <w:szCs w:val="32"/>
        </w:rPr>
        <w:t>。2023年，天津市气象局按照气象部门政府信息公开工作有关要求，在部门网站规范设置了“政府信息公开”栏目，该栏目下设“政府信息公开指南”“政府信息公开制度”“法定主动公开内容”“依申请公开”“政府信息公开年报”等子栏目，公众可通过专栏查阅和检索天津市气象局主动公开信息内容，并下载依申请公开表格，也可在线进行依申请公开。天津市气象局门户网站及时对学习贯彻习近平新时代中国特色社会主义思想主题教育、汛期气象服务、灾害天气预报服务和“3·23世界气象日”，“5·12防灾减灾日”等活动进行了宣传。网站全年共计发布相关稿件753篇。在门户网站开设“高温天气”栏目，每年6至9月发布全市高温天气统计数据，为劳动者及时享受高温福利和补贴提供便利。</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482"/>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2.新闻媒体</w:t>
      </w:r>
      <w:r>
        <w:rPr>
          <w:rFonts w:hint="eastAsia" w:ascii="仿宋_GB2312" w:hAnsi="仿宋_GB2312" w:eastAsia="仿宋_GB2312" w:cs="仿宋_GB2312"/>
          <w:kern w:val="0"/>
          <w:sz w:val="32"/>
          <w:szCs w:val="32"/>
        </w:rPr>
        <w:t>。通过新华网、人民网、北方网、《中国气象报》、中国天气网等众多新闻媒体，每天积极主动向社会公众发布有关气象信息。特别是在“3·23世界气象日”和“5·12防灾减灾日”期间，积极开展线上科普活动，取得了良好收效。年内，在中国气象报，中国气象局网站及所属新媒体累计发稿431篇，组织媒体线上线下集中采访87次，在中央及省级主流媒体发稿1480篇（含天气类）。</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482"/>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3.新媒体</w:t>
      </w:r>
      <w:r>
        <w:rPr>
          <w:rFonts w:hint="eastAsia" w:ascii="仿宋_GB2312" w:hAnsi="仿宋_GB2312" w:eastAsia="仿宋_GB2312" w:cs="仿宋_GB2312"/>
          <w:kern w:val="0"/>
          <w:sz w:val="32"/>
          <w:szCs w:val="32"/>
        </w:rPr>
        <w:t>。为便于公众获取天津市气象局相关信息，我局还开办了“天津气象”官方微博、微信，及时发布政务和气象信息，其中，政务微博现有粉丝177.5万，发布信息约7500条，微信订阅达8.1万，发布信息1295条。</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482"/>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4.其他</w:t>
      </w:r>
      <w:r>
        <w:rPr>
          <w:rFonts w:hint="eastAsia" w:ascii="仿宋_GB2312" w:hAnsi="仿宋_GB2312" w:eastAsia="仿宋_GB2312" w:cs="仿宋_GB2312"/>
          <w:kern w:val="0"/>
          <w:sz w:val="32"/>
          <w:szCs w:val="32"/>
        </w:rPr>
        <w:t>。以科普日、科技周、中国农民丰收节等为契机，紧密围绕气象科普三下乡、气象现代化设备展览、气象科普进军营等重点线下活动，开展面向全体市民的科普宣传线下活动。针对重点天气过程，与天津主流媒体形成宣传联动机制，定时召开云端媒体通气会，集中发布天气情况和雨情信息，数十家主流媒体和新媒体对我局服务工作进行报道，公众获取重要气象信息渠道进一步多元化。</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482"/>
        <w:textAlignment w:val="auto"/>
        <w:rPr>
          <w:rFonts w:hint="eastAsia" w:ascii="仿宋_GB2312" w:hAnsi="仿宋_GB2312" w:eastAsia="仿宋_GB2312" w:cs="仿宋_GB2312"/>
          <w:kern w:val="0"/>
          <w:sz w:val="32"/>
          <w:szCs w:val="32"/>
        </w:rPr>
      </w:pP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482"/>
        <w:textAlignment w:val="auto"/>
        <w:rPr>
          <w:rFonts w:hint="eastAsia" w:ascii="仿宋_GB2312" w:hAnsi="仿宋_GB2312" w:eastAsia="仿宋_GB2312" w:cs="仿宋_GB2312"/>
          <w:kern w:val="0"/>
          <w:sz w:val="32"/>
          <w:szCs w:val="32"/>
        </w:rPr>
      </w:pPr>
    </w:p>
    <w:p>
      <w:pPr>
        <w:keepNext w:val="0"/>
        <w:keepLines w:val="0"/>
        <w:pageBreakBefore w:val="0"/>
        <w:widowControl/>
        <w:shd w:val="clear" w:color="auto" w:fill="FFFFFF"/>
        <w:kinsoku/>
        <w:wordWrap/>
        <w:overflowPunct/>
        <w:topLinePunct w:val="0"/>
        <w:autoSpaceDE/>
        <w:autoSpaceDN/>
        <w:bidi w:val="0"/>
        <w:spacing w:line="560" w:lineRule="exact"/>
        <w:ind w:firstLine="480"/>
        <w:textAlignment w:val="auto"/>
        <w:rPr>
          <w:rFonts w:hint="eastAsia" w:ascii="黑体" w:hAnsi="黑体" w:eastAsia="黑体" w:cs="黑体"/>
          <w:b w:val="0"/>
          <w:bCs w:val="0"/>
          <w:kern w:val="0"/>
          <w:sz w:val="32"/>
          <w:szCs w:val="32"/>
          <w:highlight w:val="none"/>
        </w:rPr>
      </w:pPr>
      <w:r>
        <w:rPr>
          <w:rFonts w:hint="eastAsia" w:ascii="黑体" w:hAnsi="黑体" w:eastAsia="黑体" w:cs="黑体"/>
          <w:b w:val="0"/>
          <w:bCs w:val="0"/>
          <w:kern w:val="0"/>
          <w:sz w:val="32"/>
          <w:szCs w:val="32"/>
          <w:highlight w:val="none"/>
        </w:rPr>
        <w:t>二、主动公开政府信息情况</w:t>
      </w:r>
    </w:p>
    <w:tbl>
      <w:tblPr>
        <w:tblStyle w:val="5"/>
        <w:tblW w:w="9740" w:type="dxa"/>
        <w:jc w:val="center"/>
        <w:tblLayout w:type="autofit"/>
        <w:tblCellMar>
          <w:top w:w="0" w:type="dxa"/>
          <w:left w:w="0" w:type="dxa"/>
          <w:bottom w:w="0" w:type="dxa"/>
          <w:right w:w="0" w:type="dxa"/>
        </w:tblCellMar>
      </w:tblPr>
      <w:tblGrid>
        <w:gridCol w:w="2435"/>
        <w:gridCol w:w="2435"/>
        <w:gridCol w:w="2435"/>
        <w:gridCol w:w="2435"/>
      </w:tblGrid>
      <w:tr>
        <w:tblPrEx>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第二十条第（一）项</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信息内容</w:t>
            </w:r>
          </w:p>
        </w:tc>
        <w:tc>
          <w:tcPr>
            <w:tcW w:w="2435" w:type="dxa"/>
            <w:tcBorders>
              <w:top w:val="single" w:color="auto" w:sz="8" w:space="0"/>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本年</w:t>
            </w:r>
            <w:r>
              <w:rPr>
                <w:rFonts w:ascii="宋体" w:hAnsi="宋体" w:eastAsia="宋体" w:cs="宋体"/>
                <w:kern w:val="0"/>
                <w:sz w:val="20"/>
                <w:szCs w:val="20"/>
              </w:rPr>
              <w:t>制</w:t>
            </w:r>
            <w:r>
              <w:rPr>
                <w:rFonts w:hint="eastAsia" w:ascii="宋体" w:hAnsi="宋体" w:eastAsia="宋体" w:cs="宋体"/>
                <w:kern w:val="0"/>
                <w:sz w:val="20"/>
                <w:szCs w:val="20"/>
              </w:rPr>
              <w:t>发件</w:t>
            </w:r>
            <w:r>
              <w:rPr>
                <w:rFonts w:ascii="宋体" w:hAnsi="宋体" w:eastAsia="宋体" w:cs="宋体"/>
                <w:kern w:val="0"/>
                <w:sz w:val="20"/>
                <w:szCs w:val="20"/>
              </w:rPr>
              <w:t>数</w:t>
            </w:r>
          </w:p>
        </w:tc>
        <w:tc>
          <w:tcPr>
            <w:tcW w:w="2435" w:type="dxa"/>
            <w:tcBorders>
              <w:top w:val="single" w:color="auto" w:sz="8" w:space="0"/>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本年废止件数</w:t>
            </w:r>
          </w:p>
        </w:tc>
        <w:tc>
          <w:tcPr>
            <w:tcW w:w="2435" w:type="dxa"/>
            <w:tcBorders>
              <w:top w:val="single" w:color="auto" w:sz="8" w:space="0"/>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现行有效件</w:t>
            </w:r>
            <w:r>
              <w:rPr>
                <w:rFonts w:ascii="宋体" w:hAnsi="宋体" w:eastAsia="宋体" w:cs="宋体"/>
                <w:kern w:val="0"/>
                <w:sz w:val="20"/>
                <w:szCs w:val="20"/>
              </w:rPr>
              <w:t>数</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规章</w:t>
            </w:r>
          </w:p>
        </w:tc>
        <w:tc>
          <w:tcPr>
            <w:tcW w:w="2435" w:type="dxa"/>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0</w:t>
            </w:r>
          </w:p>
        </w:tc>
        <w:tc>
          <w:tcPr>
            <w:tcW w:w="2435" w:type="dxa"/>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0</w:t>
            </w:r>
          </w:p>
        </w:tc>
        <w:tc>
          <w:tcPr>
            <w:tcW w:w="2435" w:type="dxa"/>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Cs w:val="21"/>
              </w:rPr>
              <w:t>0</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行政规范性文件</w:t>
            </w:r>
          </w:p>
        </w:tc>
        <w:tc>
          <w:tcPr>
            <w:tcW w:w="2435" w:type="dxa"/>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hint="eastAsia" w:ascii="宋体" w:hAnsi="宋体" w:cs="宋体" w:eastAsiaTheme="minorEastAsia"/>
                <w:kern w:val="0"/>
                <w:sz w:val="24"/>
                <w:szCs w:val="24"/>
                <w:lang w:eastAsia="zh-CN"/>
              </w:rPr>
            </w:pPr>
            <w:r>
              <w:rPr>
                <w:rFonts w:hint="eastAsia" w:ascii="宋体" w:hAnsi="宋体" w:eastAsia="宋体" w:cs="宋体"/>
                <w:kern w:val="0"/>
                <w:sz w:val="20"/>
                <w:szCs w:val="20"/>
                <w:lang w:val="en-US" w:eastAsia="zh-CN"/>
              </w:rPr>
              <w:t>0</w:t>
            </w:r>
          </w:p>
        </w:tc>
        <w:tc>
          <w:tcPr>
            <w:tcW w:w="2435" w:type="dxa"/>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0</w:t>
            </w:r>
          </w:p>
        </w:tc>
        <w:tc>
          <w:tcPr>
            <w:tcW w:w="2435" w:type="dxa"/>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Cs w:val="21"/>
                <w:lang w:val="en-US" w:eastAsia="zh-CN"/>
              </w:rPr>
              <w:t>1</w:t>
            </w:r>
          </w:p>
        </w:tc>
      </w:tr>
      <w:tr>
        <w:tblPrEx>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第二十条第（五）项</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信息内容</w:t>
            </w:r>
          </w:p>
        </w:tc>
        <w:tc>
          <w:tcPr>
            <w:tcW w:w="7305" w:type="dxa"/>
            <w:gridSpan w:val="3"/>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本年处理决定数量</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行政许可</w:t>
            </w:r>
          </w:p>
        </w:tc>
        <w:tc>
          <w:tcPr>
            <w:tcW w:w="7305" w:type="dxa"/>
            <w:gridSpan w:val="3"/>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hint="default" w:ascii="宋体" w:hAnsi="宋体" w:cs="宋体" w:eastAsiaTheme="minorEastAsia"/>
                <w:kern w:val="0"/>
                <w:sz w:val="24"/>
                <w:szCs w:val="24"/>
                <w:lang w:val="en-US" w:eastAsia="zh-CN"/>
              </w:rPr>
            </w:pPr>
            <w:r>
              <w:rPr>
                <w:rFonts w:hint="eastAsia" w:ascii="Calibri" w:hAnsi="Calibri" w:eastAsia="宋体" w:cs="宋体"/>
                <w:kern w:val="0"/>
                <w:szCs w:val="21"/>
                <w:lang w:val="en-US" w:eastAsia="zh-CN"/>
              </w:rPr>
              <w:t>1768</w:t>
            </w:r>
          </w:p>
        </w:tc>
      </w:tr>
      <w:tr>
        <w:tblPrEx>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第二十条第（六）项</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信息内容</w:t>
            </w:r>
          </w:p>
        </w:tc>
        <w:tc>
          <w:tcPr>
            <w:tcW w:w="7305" w:type="dxa"/>
            <w:gridSpan w:val="3"/>
            <w:tcBorders>
              <w:top w:val="single" w:color="auto" w:sz="8" w:space="0"/>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本年处理决定数量</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行政处罚</w:t>
            </w:r>
          </w:p>
        </w:tc>
        <w:tc>
          <w:tcPr>
            <w:tcW w:w="7305" w:type="dxa"/>
            <w:gridSpan w:val="3"/>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0</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行政强制</w:t>
            </w:r>
          </w:p>
        </w:tc>
        <w:tc>
          <w:tcPr>
            <w:tcW w:w="7305" w:type="dxa"/>
            <w:gridSpan w:val="3"/>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0</w:t>
            </w:r>
          </w:p>
        </w:tc>
      </w:tr>
      <w:tr>
        <w:tblPrEx>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第二十条第（八）项</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信息内容</w:t>
            </w:r>
          </w:p>
        </w:tc>
        <w:tc>
          <w:tcPr>
            <w:tcW w:w="7305" w:type="dxa"/>
            <w:gridSpan w:val="3"/>
            <w:tcBorders>
              <w:top w:val="nil"/>
              <w:left w:val="nil"/>
              <w:bottom w:val="single" w:color="auto" w:sz="8" w:space="0"/>
              <w:right w:val="single" w:color="000000"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本年收费金额（单位：万元）</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行政事业性收费</w:t>
            </w:r>
          </w:p>
        </w:tc>
        <w:tc>
          <w:tcPr>
            <w:tcW w:w="7305" w:type="dxa"/>
            <w:gridSpan w:val="3"/>
            <w:tcBorders>
              <w:top w:val="nil"/>
              <w:left w:val="nil"/>
              <w:bottom w:val="single" w:color="auto" w:sz="8" w:space="0"/>
              <w:right w:val="single" w:color="000000"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cs="宋体"/>
                <w:kern w:val="0"/>
                <w:sz w:val="24"/>
                <w:szCs w:val="24"/>
              </w:rPr>
              <w:t>0</w:t>
            </w:r>
          </w:p>
        </w:tc>
      </w:tr>
    </w:tbl>
    <w:p>
      <w:pPr>
        <w:widowControl/>
        <w:shd w:val="clear" w:color="auto" w:fill="FFFFFF"/>
        <w:ind w:firstLine="480"/>
        <w:rPr>
          <w:rFonts w:ascii="宋体" w:hAnsi="宋体" w:eastAsia="宋体" w:cs="宋体"/>
          <w:b/>
          <w:bCs/>
          <w:kern w:val="0"/>
          <w:sz w:val="24"/>
          <w:szCs w:val="24"/>
        </w:rPr>
      </w:pPr>
    </w:p>
    <w:p>
      <w:pPr>
        <w:widowControl/>
        <w:shd w:val="clear" w:color="auto" w:fill="FFFFFF"/>
        <w:ind w:firstLine="480"/>
        <w:rPr>
          <w:rFonts w:hint="eastAsia" w:ascii="黑体" w:hAnsi="黑体" w:eastAsia="黑体" w:cs="黑体"/>
          <w:b w:val="0"/>
          <w:bCs w:val="0"/>
          <w:kern w:val="0"/>
          <w:sz w:val="32"/>
          <w:szCs w:val="32"/>
          <w:highlight w:val="none"/>
        </w:rPr>
      </w:pPr>
      <w:r>
        <w:rPr>
          <w:rFonts w:hint="eastAsia" w:ascii="黑体" w:hAnsi="黑体" w:eastAsia="黑体" w:cs="黑体"/>
          <w:b w:val="0"/>
          <w:bCs w:val="0"/>
          <w:kern w:val="0"/>
          <w:sz w:val="32"/>
          <w:szCs w:val="32"/>
          <w:highlight w:val="none"/>
        </w:rPr>
        <w:t>三、收到和处理政府信息公开申请情况</w:t>
      </w:r>
    </w:p>
    <w:p>
      <w:pPr>
        <w:widowControl/>
        <w:shd w:val="clear" w:color="auto" w:fill="FFFFFF"/>
        <w:ind w:firstLine="480"/>
        <w:rPr>
          <w:rFonts w:ascii="宋体" w:hAnsi="宋体" w:cs="宋体"/>
          <w:kern w:val="0"/>
          <w:sz w:val="24"/>
          <w:szCs w:val="24"/>
        </w:rPr>
      </w:pPr>
    </w:p>
    <w:tbl>
      <w:tblPr>
        <w:tblStyle w:val="5"/>
        <w:tblW w:w="974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769"/>
        <w:gridCol w:w="943"/>
        <w:gridCol w:w="3220"/>
        <w:gridCol w:w="688"/>
        <w:gridCol w:w="688"/>
        <w:gridCol w:w="688"/>
        <w:gridCol w:w="688"/>
        <w:gridCol w:w="688"/>
        <w:gridCol w:w="688"/>
        <w:gridCol w:w="688"/>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4932" w:type="dxa"/>
            <w:gridSpan w:val="3"/>
            <w:vMerge w:val="restart"/>
            <w:tcMar>
              <w:top w:w="0" w:type="dxa"/>
              <w:left w:w="108" w:type="dxa"/>
              <w:bottom w:w="0" w:type="dxa"/>
              <w:right w:w="108" w:type="dxa"/>
            </w:tcMar>
            <w:vAlign w:val="center"/>
          </w:tcPr>
          <w:p>
            <w:pPr>
              <w:widowControl/>
              <w:jc w:val="left"/>
              <w:rPr>
                <w:rFonts w:ascii="宋体" w:hAnsi="宋体" w:cs="宋体"/>
                <w:kern w:val="0"/>
                <w:sz w:val="24"/>
                <w:szCs w:val="24"/>
              </w:rPr>
            </w:pPr>
            <w:r>
              <w:rPr>
                <w:rFonts w:hint="eastAsia" w:ascii="楷体" w:hAnsi="楷体" w:eastAsia="楷体" w:cs="宋体"/>
                <w:kern w:val="0"/>
                <w:sz w:val="20"/>
                <w:szCs w:val="20"/>
              </w:rPr>
              <w:t>（本列数据的勾稽关系为：第一项加第二项之和，等于第三项加第四项之和）</w:t>
            </w:r>
          </w:p>
        </w:tc>
        <w:tc>
          <w:tcPr>
            <w:tcW w:w="4816" w:type="dxa"/>
            <w:gridSpan w:val="7"/>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申请人情况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gridSpan w:val="3"/>
            <w:vMerge w:val="continue"/>
            <w:vAlign w:val="center"/>
          </w:tcPr>
          <w:p>
            <w:pPr>
              <w:widowControl/>
              <w:jc w:val="left"/>
              <w:rPr>
                <w:rFonts w:ascii="宋体" w:hAnsi="宋体" w:cs="宋体"/>
                <w:kern w:val="0"/>
                <w:sz w:val="24"/>
                <w:szCs w:val="24"/>
              </w:rPr>
            </w:pPr>
          </w:p>
        </w:tc>
        <w:tc>
          <w:tcPr>
            <w:tcW w:w="688" w:type="dxa"/>
            <w:vMerge w:val="restart"/>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自然人</w:t>
            </w:r>
          </w:p>
        </w:tc>
        <w:tc>
          <w:tcPr>
            <w:tcW w:w="3440" w:type="dxa"/>
            <w:gridSpan w:val="5"/>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法人或其他组织</w:t>
            </w:r>
          </w:p>
        </w:tc>
        <w:tc>
          <w:tcPr>
            <w:tcW w:w="688" w:type="dxa"/>
            <w:vMerge w:val="restart"/>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总计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gridSpan w:val="3"/>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688" w:type="dxa"/>
            <w:tcMar>
              <w:top w:w="0" w:type="dxa"/>
              <w:left w:w="57" w:type="dxa"/>
              <w:bottom w:w="0" w:type="dxa"/>
              <w:right w:w="57" w:type="dxa"/>
            </w:tcMar>
            <w:vAlign w:val="center"/>
          </w:tcPr>
          <w:p>
            <w:pPr>
              <w:widowControl/>
              <w:spacing w:line="0" w:lineRule="atLeast"/>
              <w:jc w:val="center"/>
              <w:rPr>
                <w:rFonts w:ascii="宋体" w:hAnsi="宋体" w:cs="宋体"/>
                <w:kern w:val="0"/>
                <w:sz w:val="24"/>
                <w:szCs w:val="24"/>
              </w:rPr>
            </w:pPr>
            <w:r>
              <w:rPr>
                <w:rFonts w:hint="eastAsia" w:ascii="宋体" w:hAnsi="宋体" w:eastAsia="宋体" w:cs="宋体"/>
                <w:kern w:val="0"/>
                <w:sz w:val="20"/>
                <w:szCs w:val="20"/>
              </w:rPr>
              <w:t>商业</w:t>
            </w:r>
          </w:p>
          <w:p>
            <w:pPr>
              <w:widowControl/>
              <w:spacing w:line="0" w:lineRule="atLeast"/>
              <w:jc w:val="center"/>
              <w:rPr>
                <w:rFonts w:ascii="宋体" w:hAnsi="宋体" w:cs="宋体"/>
                <w:kern w:val="0"/>
                <w:sz w:val="24"/>
                <w:szCs w:val="24"/>
              </w:rPr>
            </w:pPr>
            <w:r>
              <w:rPr>
                <w:rFonts w:hint="eastAsia" w:ascii="宋体" w:hAnsi="宋体" w:eastAsia="宋体" w:cs="宋体"/>
                <w:kern w:val="0"/>
                <w:sz w:val="20"/>
                <w:szCs w:val="20"/>
              </w:rPr>
              <w:t>企业</w:t>
            </w:r>
          </w:p>
        </w:tc>
        <w:tc>
          <w:tcPr>
            <w:tcW w:w="688" w:type="dxa"/>
            <w:tcMar>
              <w:top w:w="0" w:type="dxa"/>
              <w:left w:w="57" w:type="dxa"/>
              <w:bottom w:w="0" w:type="dxa"/>
              <w:right w:w="57" w:type="dxa"/>
            </w:tcMar>
            <w:vAlign w:val="center"/>
          </w:tcPr>
          <w:p>
            <w:pPr>
              <w:widowControl/>
              <w:spacing w:line="0" w:lineRule="atLeast"/>
              <w:jc w:val="center"/>
              <w:rPr>
                <w:rFonts w:ascii="宋体" w:hAnsi="宋体" w:cs="宋体"/>
                <w:kern w:val="0"/>
                <w:sz w:val="24"/>
                <w:szCs w:val="24"/>
              </w:rPr>
            </w:pPr>
            <w:r>
              <w:rPr>
                <w:rFonts w:hint="eastAsia" w:ascii="宋体" w:hAnsi="宋体" w:eastAsia="宋体" w:cs="宋体"/>
                <w:kern w:val="0"/>
                <w:sz w:val="20"/>
                <w:szCs w:val="20"/>
              </w:rPr>
              <w:t>科研</w:t>
            </w:r>
          </w:p>
          <w:p>
            <w:pPr>
              <w:widowControl/>
              <w:spacing w:line="0" w:lineRule="atLeast"/>
              <w:jc w:val="center"/>
              <w:rPr>
                <w:rFonts w:ascii="宋体" w:hAnsi="宋体" w:cs="宋体"/>
                <w:kern w:val="0"/>
                <w:sz w:val="24"/>
                <w:szCs w:val="24"/>
              </w:rPr>
            </w:pPr>
            <w:r>
              <w:rPr>
                <w:rFonts w:hint="eastAsia" w:ascii="宋体" w:hAnsi="宋体" w:eastAsia="宋体" w:cs="宋体"/>
                <w:kern w:val="0"/>
                <w:sz w:val="20"/>
                <w:szCs w:val="20"/>
              </w:rPr>
              <w:t>机构</w:t>
            </w:r>
          </w:p>
        </w:tc>
        <w:tc>
          <w:tcPr>
            <w:tcW w:w="688" w:type="dxa"/>
            <w:tcMar>
              <w:top w:w="0" w:type="dxa"/>
              <w:left w:w="57" w:type="dxa"/>
              <w:bottom w:w="0" w:type="dxa"/>
              <w:right w:w="57" w:type="dxa"/>
            </w:tcMar>
            <w:vAlign w:val="center"/>
          </w:tcPr>
          <w:p>
            <w:pPr>
              <w:widowControl/>
              <w:spacing w:line="0" w:lineRule="atLeast"/>
              <w:jc w:val="center"/>
              <w:rPr>
                <w:rFonts w:ascii="宋体" w:hAnsi="宋体" w:cs="宋体"/>
                <w:kern w:val="0"/>
                <w:sz w:val="24"/>
                <w:szCs w:val="24"/>
              </w:rPr>
            </w:pPr>
            <w:r>
              <w:rPr>
                <w:rFonts w:hint="eastAsia" w:ascii="宋体" w:hAnsi="宋体" w:eastAsia="宋体" w:cs="宋体"/>
                <w:kern w:val="0"/>
                <w:sz w:val="20"/>
                <w:szCs w:val="20"/>
              </w:rPr>
              <w:t>社会公益组织</w:t>
            </w:r>
          </w:p>
        </w:tc>
        <w:tc>
          <w:tcPr>
            <w:tcW w:w="688" w:type="dxa"/>
            <w:tcMar>
              <w:top w:w="0" w:type="dxa"/>
              <w:left w:w="57" w:type="dxa"/>
              <w:bottom w:w="0" w:type="dxa"/>
              <w:right w:w="57" w:type="dxa"/>
            </w:tcMar>
            <w:vAlign w:val="center"/>
          </w:tcPr>
          <w:p>
            <w:pPr>
              <w:widowControl/>
              <w:spacing w:line="0" w:lineRule="atLeast"/>
              <w:jc w:val="center"/>
              <w:rPr>
                <w:rFonts w:ascii="宋体" w:hAnsi="宋体" w:cs="宋体"/>
                <w:kern w:val="0"/>
                <w:sz w:val="24"/>
                <w:szCs w:val="24"/>
              </w:rPr>
            </w:pPr>
            <w:r>
              <w:rPr>
                <w:rFonts w:hint="eastAsia" w:ascii="宋体" w:hAnsi="宋体" w:eastAsia="宋体" w:cs="宋体"/>
                <w:kern w:val="0"/>
                <w:sz w:val="20"/>
                <w:szCs w:val="20"/>
              </w:rPr>
              <w:t>法律服务机构</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其他</w:t>
            </w:r>
          </w:p>
        </w:tc>
        <w:tc>
          <w:tcPr>
            <w:tcW w:w="0" w:type="auto"/>
            <w:vMerge w:val="continue"/>
            <w:vAlign w:val="center"/>
          </w:tcPr>
          <w:p>
            <w:pPr>
              <w:widowControl/>
              <w:jc w:val="left"/>
              <w:rPr>
                <w:rFonts w:ascii="宋体" w:hAnsi="宋体" w:cs="宋体"/>
                <w:kern w:val="0"/>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4932" w:type="dxa"/>
            <w:gridSpan w:val="3"/>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一、本年新收政府信息公开申请数量</w:t>
            </w:r>
          </w:p>
        </w:tc>
        <w:tc>
          <w:tcPr>
            <w:tcW w:w="688" w:type="dxa"/>
            <w:tcMar>
              <w:top w:w="0" w:type="dxa"/>
              <w:left w:w="57" w:type="dxa"/>
              <w:bottom w:w="0" w:type="dxa"/>
              <w:right w:w="57" w:type="dxa"/>
            </w:tcMar>
            <w:vAlign w:val="center"/>
          </w:tcPr>
          <w:p>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 w:val="20"/>
                <w:szCs w:val="20"/>
                <w:lang w:val="en-US" w:eastAsia="zh-CN"/>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4932" w:type="dxa"/>
            <w:gridSpan w:val="3"/>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二、上年结转政府信息公开申请数量</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769" w:type="dxa"/>
            <w:vMerge w:val="restart"/>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三、本年度办理结果</w:t>
            </w:r>
          </w:p>
        </w:tc>
        <w:tc>
          <w:tcPr>
            <w:tcW w:w="4163" w:type="dxa"/>
            <w:gridSpan w:val="2"/>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（一）予以公开</w:t>
            </w:r>
          </w:p>
        </w:tc>
        <w:tc>
          <w:tcPr>
            <w:tcW w:w="688" w:type="dxa"/>
            <w:tcMar>
              <w:top w:w="0" w:type="dxa"/>
              <w:left w:w="57" w:type="dxa"/>
              <w:bottom w:w="0" w:type="dxa"/>
              <w:right w:w="57" w:type="dxa"/>
            </w:tcMar>
            <w:vAlign w:val="center"/>
          </w:tcPr>
          <w:p>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 w:val="20"/>
                <w:szCs w:val="20"/>
                <w:lang w:val="en-US" w:eastAsia="zh-CN"/>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0" w:type="auto"/>
            <w:vMerge w:val="continue"/>
            <w:vAlign w:val="center"/>
          </w:tcPr>
          <w:p>
            <w:pPr>
              <w:widowControl/>
              <w:jc w:val="left"/>
              <w:rPr>
                <w:rFonts w:ascii="宋体" w:hAnsi="宋体" w:cs="宋体"/>
                <w:kern w:val="0"/>
                <w:sz w:val="24"/>
                <w:szCs w:val="24"/>
              </w:rPr>
            </w:pPr>
          </w:p>
        </w:tc>
        <w:tc>
          <w:tcPr>
            <w:tcW w:w="4163" w:type="dxa"/>
            <w:gridSpan w:val="2"/>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（二）部分公开</w:t>
            </w:r>
            <w:r>
              <w:rPr>
                <w:rFonts w:hint="eastAsia" w:ascii="楷体" w:hAnsi="楷体" w:eastAsia="楷体" w:cs="宋体"/>
                <w:kern w:val="0"/>
                <w:sz w:val="20"/>
                <w:szCs w:val="20"/>
              </w:rPr>
              <w:t>（区分处理的，只计这一情形，不计其他情形）</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Calibri" w:hAnsi="Calibri" w:eastAsia="宋体" w:cs="宋体"/>
                <w:kern w:val="0"/>
                <w:sz w:val="20"/>
                <w:szCs w:val="20"/>
              </w:rP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0" w:type="auto"/>
            <w:vMerge w:val="continue"/>
            <w:vAlign w:val="center"/>
          </w:tcPr>
          <w:p>
            <w:pPr>
              <w:widowControl/>
              <w:jc w:val="left"/>
              <w:rPr>
                <w:rFonts w:ascii="宋体" w:hAnsi="宋体" w:cs="宋体"/>
                <w:kern w:val="0"/>
                <w:sz w:val="24"/>
                <w:szCs w:val="24"/>
              </w:rPr>
            </w:pPr>
          </w:p>
        </w:tc>
        <w:tc>
          <w:tcPr>
            <w:tcW w:w="943" w:type="dxa"/>
            <w:vMerge w:val="restart"/>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（三）不予公开</w:t>
            </w:r>
          </w:p>
        </w:tc>
        <w:tc>
          <w:tcPr>
            <w:tcW w:w="3220"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943" w:type="dxa"/>
            <w:vMerge w:val="restart"/>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（四）无法提供</w:t>
            </w:r>
          </w:p>
        </w:tc>
        <w:tc>
          <w:tcPr>
            <w:tcW w:w="3220" w:type="dxa"/>
            <w:tcMar>
              <w:top w:w="0" w:type="dxa"/>
              <w:left w:w="57" w:type="dxa"/>
              <w:bottom w:w="0" w:type="dxa"/>
              <w:right w:w="57" w:type="dxa"/>
            </w:tcMar>
          </w:tcPr>
          <w:p>
            <w:pPr>
              <w:widowControl/>
              <w:jc w:val="left"/>
              <w:rPr>
                <w:rFonts w:ascii="宋体" w:hAnsi="宋体" w:cs="宋体"/>
                <w:kern w:val="0"/>
                <w:sz w:val="24"/>
                <w:szCs w:val="24"/>
              </w:rPr>
            </w:pPr>
            <w:r>
              <w:rPr>
                <w:rFonts w:hint="eastAsia" w:ascii="宋体" w:hAnsi="宋体" w:eastAsia="宋体" w:cs="宋体"/>
                <w:kern w:val="0"/>
                <w:sz w:val="20"/>
                <w:szCs w:val="20"/>
              </w:rPr>
              <w:t>1.本机关不掌握相关政府信息</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tcPr>
          <w:p>
            <w:pPr>
              <w:widowControl/>
              <w:jc w:val="left"/>
              <w:rPr>
                <w:rFonts w:ascii="宋体" w:hAnsi="宋体" w:cs="宋体"/>
                <w:kern w:val="0"/>
                <w:sz w:val="24"/>
                <w:szCs w:val="24"/>
              </w:rPr>
            </w:pPr>
            <w:r>
              <w:rPr>
                <w:rFonts w:hint="eastAsia" w:ascii="宋体" w:hAnsi="宋体" w:eastAsia="宋体" w:cs="宋体"/>
                <w:kern w:val="0"/>
                <w:sz w:val="20"/>
                <w:szCs w:val="20"/>
              </w:rPr>
              <w:t>2.没有现成信息需要另行制作</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tcPr>
          <w:p>
            <w:pPr>
              <w:widowControl/>
              <w:jc w:val="left"/>
              <w:rPr>
                <w:rFonts w:ascii="宋体" w:hAnsi="宋体" w:cs="宋体"/>
                <w:kern w:val="0"/>
                <w:sz w:val="24"/>
                <w:szCs w:val="24"/>
              </w:rPr>
            </w:pPr>
            <w:r>
              <w:rPr>
                <w:rFonts w:hint="eastAsia" w:ascii="宋体" w:hAnsi="宋体" w:eastAsia="宋体" w:cs="宋体"/>
                <w:kern w:val="0"/>
                <w:sz w:val="20"/>
                <w:szCs w:val="20"/>
              </w:rPr>
              <w:t>3.补正后申请内容仍不明确</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943" w:type="dxa"/>
            <w:vMerge w:val="restart"/>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（五）不予处理</w:t>
            </w:r>
          </w:p>
        </w:tc>
        <w:tc>
          <w:tcPr>
            <w:tcW w:w="3220" w:type="dxa"/>
            <w:tcMar>
              <w:top w:w="0" w:type="dxa"/>
              <w:left w:w="57" w:type="dxa"/>
              <w:bottom w:w="0" w:type="dxa"/>
              <w:right w:w="57" w:type="dxa"/>
            </w:tcMar>
          </w:tcPr>
          <w:p>
            <w:pPr>
              <w:widowControl/>
              <w:jc w:val="left"/>
              <w:rPr>
                <w:rFonts w:ascii="宋体" w:hAnsi="宋体" w:cs="宋体"/>
                <w:kern w:val="0"/>
                <w:sz w:val="24"/>
                <w:szCs w:val="24"/>
              </w:rPr>
            </w:pPr>
            <w:r>
              <w:rPr>
                <w:rFonts w:hint="eastAsia" w:ascii="宋体" w:hAnsi="宋体" w:eastAsia="宋体" w:cs="宋体"/>
                <w:kern w:val="0"/>
                <w:sz w:val="20"/>
                <w:szCs w:val="20"/>
              </w:rPr>
              <w:t>1.信访举报投诉类申请</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tcPr>
          <w:p>
            <w:pPr>
              <w:widowControl/>
              <w:jc w:val="left"/>
              <w:rPr>
                <w:rFonts w:ascii="宋体" w:hAnsi="宋体" w:cs="宋体"/>
                <w:kern w:val="0"/>
                <w:sz w:val="24"/>
                <w:szCs w:val="24"/>
              </w:rPr>
            </w:pPr>
            <w:r>
              <w:rPr>
                <w:rFonts w:hint="eastAsia" w:ascii="宋体" w:hAnsi="宋体" w:eastAsia="宋体" w:cs="宋体"/>
                <w:kern w:val="0"/>
                <w:sz w:val="20"/>
                <w:szCs w:val="20"/>
              </w:rPr>
              <w:t>2.重复申请</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tcPr>
          <w:p>
            <w:pPr>
              <w:widowControl/>
              <w:jc w:val="left"/>
              <w:rPr>
                <w:rFonts w:ascii="宋体" w:hAnsi="宋体" w:cs="宋体"/>
                <w:kern w:val="0"/>
                <w:sz w:val="24"/>
                <w:szCs w:val="24"/>
              </w:rPr>
            </w:pPr>
            <w:r>
              <w:rPr>
                <w:rFonts w:hint="eastAsia" w:ascii="宋体" w:hAnsi="宋体" w:eastAsia="宋体" w:cs="宋体"/>
                <w:kern w:val="0"/>
                <w:sz w:val="20"/>
                <w:szCs w:val="20"/>
              </w:rPr>
              <w:t>3.要求提供公开出版物</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tcPr>
          <w:p>
            <w:pPr>
              <w:widowControl/>
              <w:jc w:val="left"/>
              <w:rPr>
                <w:rFonts w:ascii="宋体" w:hAnsi="宋体" w:cs="宋体"/>
                <w:kern w:val="0"/>
                <w:sz w:val="24"/>
                <w:szCs w:val="24"/>
              </w:rPr>
            </w:pPr>
            <w:r>
              <w:rPr>
                <w:rFonts w:hint="eastAsia" w:ascii="宋体" w:hAnsi="宋体" w:eastAsia="宋体" w:cs="宋体"/>
                <w:kern w:val="0"/>
                <w:sz w:val="20"/>
                <w:szCs w:val="20"/>
              </w:rPr>
              <w:t>4.无正当理由大量反复申请</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79" w:hRule="atLeast"/>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rPr>
                <w:rFonts w:ascii="宋体" w:hAnsi="宋体" w:cs="宋体"/>
                <w:kern w:val="0"/>
                <w:sz w:val="24"/>
                <w:szCs w:val="24"/>
              </w:rPr>
            </w:pPr>
            <w:r>
              <w:rPr>
                <w:rFonts w:hint="eastAsia" w:ascii="宋体" w:hAnsi="宋体" w:eastAsia="宋体" w:cs="宋体"/>
                <w:kern w:val="0"/>
                <w:sz w:val="20"/>
                <w:szCs w:val="20"/>
              </w:rPr>
              <w:t>5.要求行政机关确认或重新出具已获取信息</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943" w:type="dxa"/>
            <w:vMerge w:val="restart"/>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（六）其他处理</w:t>
            </w:r>
          </w:p>
        </w:tc>
        <w:tc>
          <w:tcPr>
            <w:tcW w:w="3220" w:type="dxa"/>
            <w:tcMar>
              <w:top w:w="0" w:type="dxa"/>
              <w:left w:w="57" w:type="dxa"/>
              <w:bottom w:w="0" w:type="dxa"/>
              <w:right w:w="57" w:type="dxa"/>
            </w:tcMar>
            <w:vAlign w:val="center"/>
          </w:tcPr>
          <w:p>
            <w:pPr>
              <w:widowControl/>
              <w:rPr>
                <w:rFonts w:ascii="宋体" w:hAnsi="宋体" w:cs="宋体"/>
                <w:kern w:val="0"/>
                <w:sz w:val="24"/>
                <w:szCs w:val="24"/>
              </w:rPr>
            </w:pPr>
            <w:r>
              <w:rPr>
                <w:rFonts w:hint="eastAsia" w:ascii="宋体" w:hAnsi="宋体" w:eastAsia="宋体" w:cs="宋体"/>
                <w:kern w:val="0"/>
                <w:sz w:val="20"/>
                <w:szCs w:val="20"/>
              </w:rPr>
              <w:t>1.申请人无正当理由逾期不补正、行政机关不再处理其政府信息公开申请</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rPr>
                <w:rFonts w:ascii="宋体" w:hAnsi="宋体" w:cs="宋体"/>
                <w:kern w:val="0"/>
                <w:sz w:val="24"/>
                <w:szCs w:val="24"/>
              </w:rPr>
            </w:pPr>
            <w:r>
              <w:rPr>
                <w:rFonts w:hint="eastAsia" w:ascii="宋体" w:hAnsi="宋体" w:eastAsia="宋体" w:cs="宋体"/>
                <w:kern w:val="0"/>
                <w:sz w:val="20"/>
                <w:szCs w:val="20"/>
              </w:rPr>
              <w:t>2.申请人逾期未按收费通知要求缴纳费用、行政机关不再处理其政府信息公开申请</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3.其他</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0" w:type="auto"/>
            <w:vMerge w:val="continue"/>
            <w:vAlign w:val="center"/>
          </w:tcPr>
          <w:p>
            <w:pPr>
              <w:widowControl/>
              <w:jc w:val="left"/>
              <w:rPr>
                <w:rFonts w:ascii="宋体" w:hAnsi="宋体" w:cs="宋体"/>
                <w:kern w:val="0"/>
                <w:sz w:val="24"/>
                <w:szCs w:val="24"/>
              </w:rPr>
            </w:pPr>
          </w:p>
        </w:tc>
        <w:tc>
          <w:tcPr>
            <w:tcW w:w="4163" w:type="dxa"/>
            <w:gridSpan w:val="2"/>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（七）总计</w:t>
            </w:r>
          </w:p>
        </w:tc>
        <w:tc>
          <w:tcPr>
            <w:tcW w:w="688" w:type="dxa"/>
            <w:tcMar>
              <w:top w:w="0" w:type="dxa"/>
              <w:left w:w="57" w:type="dxa"/>
              <w:bottom w:w="0" w:type="dxa"/>
              <w:right w:w="57" w:type="dxa"/>
            </w:tcMar>
            <w:vAlign w:val="center"/>
          </w:tcPr>
          <w:p>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 w:val="20"/>
                <w:szCs w:val="20"/>
                <w:lang w:val="en-US" w:eastAsia="zh-CN"/>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4932" w:type="dxa"/>
            <w:gridSpan w:val="3"/>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四、结转下年度继续办理</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bl>
    <w:p>
      <w:pPr>
        <w:widowControl/>
        <w:shd w:val="clear" w:color="auto" w:fill="FFFFFF"/>
        <w:jc w:val="center"/>
        <w:rPr>
          <w:rFonts w:ascii="宋体" w:hAnsi="宋体" w:cs="宋体"/>
          <w:kern w:val="0"/>
          <w:sz w:val="24"/>
          <w:szCs w:val="24"/>
        </w:rPr>
      </w:pPr>
    </w:p>
    <w:p>
      <w:pPr>
        <w:widowControl/>
        <w:shd w:val="clear" w:color="auto" w:fill="FFFFFF"/>
        <w:ind w:firstLine="480"/>
        <w:rPr>
          <w:rFonts w:hint="eastAsia" w:ascii="黑体" w:hAnsi="黑体" w:eastAsia="黑体" w:cs="黑体"/>
          <w:b w:val="0"/>
          <w:bCs w:val="0"/>
          <w:kern w:val="0"/>
          <w:sz w:val="32"/>
          <w:szCs w:val="32"/>
          <w:highlight w:val="none"/>
        </w:rPr>
      </w:pPr>
      <w:r>
        <w:rPr>
          <w:rFonts w:hint="eastAsia" w:ascii="黑体" w:hAnsi="黑体" w:eastAsia="黑体" w:cs="黑体"/>
          <w:b w:val="0"/>
          <w:bCs w:val="0"/>
          <w:kern w:val="0"/>
          <w:sz w:val="32"/>
          <w:szCs w:val="32"/>
          <w:highlight w:val="none"/>
        </w:rPr>
        <w:t>四、政府信息公开行政复议、行政诉讼情况</w:t>
      </w:r>
    </w:p>
    <w:p>
      <w:pPr>
        <w:widowControl/>
        <w:shd w:val="clear" w:color="auto" w:fill="FFFFFF"/>
        <w:jc w:val="center"/>
        <w:rPr>
          <w:rFonts w:ascii="宋体" w:hAnsi="宋体" w:cs="宋体"/>
          <w:kern w:val="0"/>
          <w:sz w:val="24"/>
          <w:szCs w:val="24"/>
        </w:rPr>
      </w:pPr>
    </w:p>
    <w:tbl>
      <w:tblPr>
        <w:tblStyle w:val="5"/>
        <w:tblW w:w="974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50"/>
        <w:gridCol w:w="650"/>
        <w:gridCol w:w="650"/>
        <w:gridCol w:w="650"/>
        <w:gridCol w:w="650"/>
        <w:gridCol w:w="649"/>
        <w:gridCol w:w="649"/>
        <w:gridCol w:w="650"/>
        <w:gridCol w:w="650"/>
        <w:gridCol w:w="650"/>
        <w:gridCol w:w="650"/>
        <w:gridCol w:w="650"/>
        <w:gridCol w:w="650"/>
        <w:gridCol w:w="650"/>
        <w:gridCol w:w="65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3250" w:type="dxa"/>
            <w:gridSpan w:val="5"/>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行政复议</w:t>
            </w:r>
          </w:p>
        </w:tc>
        <w:tc>
          <w:tcPr>
            <w:tcW w:w="6498" w:type="dxa"/>
            <w:gridSpan w:val="10"/>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行政诉讼</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50" w:type="dxa"/>
            <w:vMerge w:val="restart"/>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结果维持</w:t>
            </w:r>
          </w:p>
        </w:tc>
        <w:tc>
          <w:tcPr>
            <w:tcW w:w="650" w:type="dxa"/>
            <w:vMerge w:val="restart"/>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结果</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纠正</w:t>
            </w:r>
          </w:p>
        </w:tc>
        <w:tc>
          <w:tcPr>
            <w:tcW w:w="650" w:type="dxa"/>
            <w:vMerge w:val="restart"/>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其他</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结果</w:t>
            </w:r>
          </w:p>
        </w:tc>
        <w:tc>
          <w:tcPr>
            <w:tcW w:w="650" w:type="dxa"/>
            <w:vMerge w:val="restart"/>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尚未</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审结</w:t>
            </w:r>
          </w:p>
        </w:tc>
        <w:tc>
          <w:tcPr>
            <w:tcW w:w="650" w:type="dxa"/>
            <w:vMerge w:val="restart"/>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总计</w:t>
            </w:r>
          </w:p>
        </w:tc>
        <w:tc>
          <w:tcPr>
            <w:tcW w:w="3248" w:type="dxa"/>
            <w:gridSpan w:val="5"/>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未经复议直接起诉</w:t>
            </w:r>
          </w:p>
        </w:tc>
        <w:tc>
          <w:tcPr>
            <w:tcW w:w="3250" w:type="dxa"/>
            <w:gridSpan w:val="5"/>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复议后起诉</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649"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结果</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维持</w:t>
            </w:r>
          </w:p>
        </w:tc>
        <w:tc>
          <w:tcPr>
            <w:tcW w:w="649"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结果</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纠正</w:t>
            </w:r>
          </w:p>
        </w:tc>
        <w:tc>
          <w:tcPr>
            <w:tcW w:w="650"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其他</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结果</w:t>
            </w:r>
          </w:p>
        </w:tc>
        <w:tc>
          <w:tcPr>
            <w:tcW w:w="650"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尚未</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审结</w:t>
            </w:r>
          </w:p>
        </w:tc>
        <w:tc>
          <w:tcPr>
            <w:tcW w:w="650"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总计</w:t>
            </w:r>
          </w:p>
        </w:tc>
        <w:tc>
          <w:tcPr>
            <w:tcW w:w="650"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结果</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维持</w:t>
            </w:r>
          </w:p>
        </w:tc>
        <w:tc>
          <w:tcPr>
            <w:tcW w:w="650"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结果</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纠正</w:t>
            </w:r>
          </w:p>
        </w:tc>
        <w:tc>
          <w:tcPr>
            <w:tcW w:w="650"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其他</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结果</w:t>
            </w:r>
          </w:p>
        </w:tc>
        <w:tc>
          <w:tcPr>
            <w:tcW w:w="650"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尚未</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审结</w:t>
            </w:r>
          </w:p>
        </w:tc>
        <w:tc>
          <w:tcPr>
            <w:tcW w:w="650"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总计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2" w:hRule="atLeast"/>
          <w:jc w:val="center"/>
        </w:trPr>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49"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49"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cs="宋体"/>
                <w:kern w:val="0"/>
                <w:sz w:val="24"/>
                <w:szCs w:val="24"/>
              </w:rPr>
              <w:t>0</w:t>
            </w:r>
          </w:p>
        </w:tc>
      </w:tr>
    </w:tbl>
    <w:p>
      <w:pPr>
        <w:widowControl/>
        <w:shd w:val="clear" w:color="auto" w:fill="FFFFFF"/>
        <w:adjustRightInd w:val="0"/>
        <w:snapToGrid w:val="0"/>
        <w:spacing w:line="500" w:lineRule="exact"/>
        <w:ind w:firstLine="482"/>
        <w:rPr>
          <w:rFonts w:ascii="宋体" w:hAnsi="宋体" w:eastAsia="宋体" w:cs="宋体"/>
          <w:b/>
          <w:kern w:val="0"/>
          <w:sz w:val="24"/>
          <w:szCs w:val="24"/>
        </w:rPr>
      </w:pP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482"/>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五、存在的主要问题及改进情况</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482"/>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一年来，天津市气象局不断强化政府信息公开工作，改进部门网站功能，组织参加专题培训，按目录规范发布各类公开信息，取得了一定的成效，但距离上级部门的要求和社会公众的需求仍有一定差距，公众获取信息的渠道亟待进一步拓宽。下一步，天津市气象局将进一步贯彻落实《中华人民共和国政府信息公开条例》，按照中国气象局和天津市委、市政府政府信息公开工作要求，深入分析研究公众对气象部门政府信息的需求，依法提升政府信息公开工作的规范性和科学性，不断提升工作人员专业素养，促进政府信息公开水平提升。</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482"/>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六、其他需要报告的事项</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482"/>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无其他需要报告的事项。</w:t>
      </w:r>
    </w:p>
    <w:p>
      <w:pPr>
        <w:keepNext w:val="0"/>
        <w:keepLines w:val="0"/>
        <w:pageBreakBefore w:val="0"/>
        <w:widowControl/>
        <w:shd w:val="clear" w:color="auto" w:fill="FFFFFF"/>
        <w:kinsoku/>
        <w:wordWrap/>
        <w:overflowPunct/>
        <w:topLinePunct w:val="0"/>
        <w:autoSpaceDE/>
        <w:autoSpaceDN/>
        <w:bidi w:val="0"/>
        <w:spacing w:line="560" w:lineRule="exact"/>
        <w:ind w:firstLine="480"/>
        <w:textAlignment w:val="auto"/>
        <w:rPr>
          <w:rFonts w:hint="eastAsia" w:ascii="仿宋_GB2312" w:hAnsi="仿宋_GB2312" w:eastAsia="仿宋_GB2312" w:cs="仿宋_GB2312"/>
          <w:kern w:val="0"/>
          <w:sz w:val="32"/>
          <w:szCs w:val="32"/>
        </w:rPr>
      </w:pPr>
    </w:p>
    <w:p>
      <w:pPr>
        <w:keepNext w:val="0"/>
        <w:keepLines w:val="0"/>
        <w:pageBreakBefore w:val="0"/>
        <w:widowControl/>
        <w:shd w:val="clear" w:color="auto" w:fill="FFFFFF"/>
        <w:kinsoku/>
        <w:wordWrap/>
        <w:overflowPunct/>
        <w:topLinePunct w:val="0"/>
        <w:autoSpaceDE/>
        <w:autoSpaceDN/>
        <w:bidi w:val="0"/>
        <w:spacing w:line="560" w:lineRule="exact"/>
        <w:ind w:firstLine="480"/>
        <w:textAlignment w:val="auto"/>
        <w:rPr>
          <w:rFonts w:hint="eastAsia" w:ascii="仿宋_GB2312" w:hAnsi="仿宋_GB2312" w:eastAsia="仿宋_GB2312" w:cs="仿宋_GB2312"/>
          <w:kern w:val="0"/>
          <w:sz w:val="32"/>
          <w:szCs w:val="32"/>
        </w:rPr>
      </w:pPr>
    </w:p>
    <w:p>
      <w:pPr>
        <w:widowControl/>
        <w:shd w:val="clear" w:color="auto" w:fill="FFFFFF"/>
        <w:ind w:left="0" w:leftChars="0" w:firstLine="5680" w:firstLineChars="1775"/>
        <w:rPr>
          <w:rFonts w:ascii="宋体" w:hAnsi="宋体" w:eastAsia="宋体" w:cs="宋体"/>
          <w:kern w:val="0"/>
          <w:sz w:val="24"/>
          <w:szCs w:val="24"/>
        </w:rPr>
      </w:pPr>
      <w:r>
        <w:rPr>
          <w:rFonts w:hint="eastAsia" w:ascii="仿宋_GB2312" w:hAnsi="仿宋_GB2312" w:eastAsia="仿宋_GB2312" w:cs="仿宋_GB2312"/>
          <w:kern w:val="0"/>
          <w:sz w:val="32"/>
          <w:szCs w:val="32"/>
        </w:rPr>
        <w:t>天津市气象局                                    </w:t>
      </w:r>
      <w:r>
        <w:rPr>
          <w:rFonts w:hint="eastAsia" w:ascii="仿宋_GB2312" w:hAnsi="仿宋_GB2312" w:eastAsia="仿宋_GB2312" w:cs="仿宋_GB2312"/>
          <w:kern w:val="0"/>
          <w:sz w:val="32"/>
          <w:szCs w:val="32"/>
          <w:lang w:val="en-US" w:eastAsia="zh-CN"/>
        </w:rPr>
        <w:t xml:space="preserve">  </w:t>
      </w:r>
      <w:bookmarkStart w:id="0" w:name="_GoBack"/>
      <w:bookmarkEnd w:id="0"/>
      <w:r>
        <w:rPr>
          <w:rFonts w:hint="eastAsia" w:ascii="仿宋_GB2312" w:hAnsi="仿宋_GB2312" w:eastAsia="仿宋_GB2312" w:cs="仿宋_GB2312"/>
          <w:kern w:val="0"/>
          <w:sz w:val="32"/>
          <w:szCs w:val="32"/>
        </w:rPr>
        <w:t>202</w:t>
      </w:r>
      <w:r>
        <w:rPr>
          <w:rFonts w:hint="eastAsia" w:ascii="仿宋_GB2312" w:hAnsi="仿宋_GB2312" w:eastAsia="仿宋_GB2312" w:cs="仿宋_GB2312"/>
          <w:kern w:val="0"/>
          <w:sz w:val="32"/>
          <w:szCs w:val="32"/>
          <w:lang w:val="en-US" w:eastAsia="zh-CN"/>
        </w:rPr>
        <w:t>4</w:t>
      </w:r>
      <w:r>
        <w:rPr>
          <w:rFonts w:hint="eastAsia" w:ascii="仿宋_GB2312" w:hAnsi="仿宋_GB2312" w:eastAsia="仿宋_GB2312" w:cs="仿宋_GB2312"/>
          <w:kern w:val="0"/>
          <w:sz w:val="32"/>
          <w:szCs w:val="32"/>
        </w:rPr>
        <w:t>年1月</w:t>
      </w: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楷体_GB2312">
    <w:panose1 w:val="02010609030101010101"/>
    <w:charset w:val="86"/>
    <w:family w:val="modern"/>
    <w:pitch w:val="default"/>
    <w:sig w:usb0="00000001" w:usb1="080E0000" w:usb2="00000000" w:usb3="00000000" w:csb0="00040000" w:csb1="00000000"/>
  </w:font>
  <w:font w:name="楷体">
    <w:altName w:val="方正楷体_GBK"/>
    <w:panose1 w:val="00000000000000000000"/>
    <w:charset w:val="00"/>
    <w:family w:val="modern"/>
    <w:pitch w:val="default"/>
    <w:sig w:usb0="00000000" w:usb1="00000000" w:usb2="00000016" w:usb3="00000000" w:csb0="00040001" w:csb1="00000000"/>
  </w:font>
  <w:font w:name="微软雅黑">
    <w:panose1 w:val="020B0503020204020204"/>
    <w:charset w:val="86"/>
    <w:family w:val="auto"/>
    <w:pitch w:val="default"/>
    <w:sig w:usb0="80000287" w:usb1="2A0F3C52" w:usb2="00000016" w:usb3="00000000" w:csb0="0004001F" w:csb1="00000000"/>
  </w:font>
  <w:font w:name="方正楷体_GBK">
    <w:panose1 w:val="02000000000000000000"/>
    <w:charset w:val="86"/>
    <w:family w:val="auto"/>
    <w:pitch w:val="default"/>
    <w:sig w:usb0="00000001" w:usb1="08000000" w:usb2="00000000" w:usb3="00000000" w:csb0="00040000" w:csb1="00000000"/>
  </w:font>
  <w:font w:name="DejaVu Math TeX Gyre">
    <w:panose1 w:val="02000503000000000000"/>
    <w:charset w:val="00"/>
    <w:family w:val="auto"/>
    <w:pitch w:val="default"/>
    <w:sig w:usb0="A10000EF" w:usb1="4201F9EE" w:usb2="02000000" w:usb3="00000000" w:csb0="60000193" w:csb1="0DD40000"/>
  </w:font>
  <w:font w:name="DejaVu Sans">
    <w:panose1 w:val="020B0603030804020204"/>
    <w:charset w:val="00"/>
    <w:family w:val="auto"/>
    <w:pitch w:val="default"/>
    <w:sig w:usb0="E7006EFF" w:usb1="D200FDFF" w:usb2="0A246029" w:usb3="0400200C" w:csb0="600001FF" w:csb1="DFFF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A4645"/>
    <w:rsid w:val="00084567"/>
    <w:rsid w:val="000A2529"/>
    <w:rsid w:val="001813A5"/>
    <w:rsid w:val="001A0C2F"/>
    <w:rsid w:val="001A16AD"/>
    <w:rsid w:val="001C7AB2"/>
    <w:rsid w:val="002828F5"/>
    <w:rsid w:val="002E14EE"/>
    <w:rsid w:val="00307459"/>
    <w:rsid w:val="003423BD"/>
    <w:rsid w:val="00385112"/>
    <w:rsid w:val="003875EB"/>
    <w:rsid w:val="003D04E8"/>
    <w:rsid w:val="003D5407"/>
    <w:rsid w:val="00405382"/>
    <w:rsid w:val="00442045"/>
    <w:rsid w:val="00462D47"/>
    <w:rsid w:val="004A4645"/>
    <w:rsid w:val="004B5158"/>
    <w:rsid w:val="00522418"/>
    <w:rsid w:val="00534F42"/>
    <w:rsid w:val="005367AE"/>
    <w:rsid w:val="00620517"/>
    <w:rsid w:val="00622685"/>
    <w:rsid w:val="00636F22"/>
    <w:rsid w:val="006970D8"/>
    <w:rsid w:val="006C3A9D"/>
    <w:rsid w:val="0076189D"/>
    <w:rsid w:val="0078033B"/>
    <w:rsid w:val="00904AD0"/>
    <w:rsid w:val="00A915EF"/>
    <w:rsid w:val="00AF337F"/>
    <w:rsid w:val="00B63619"/>
    <w:rsid w:val="00B76376"/>
    <w:rsid w:val="00B9795E"/>
    <w:rsid w:val="00C13855"/>
    <w:rsid w:val="00C54BBB"/>
    <w:rsid w:val="00CF1440"/>
    <w:rsid w:val="00D01C05"/>
    <w:rsid w:val="00D44DF7"/>
    <w:rsid w:val="00D5712B"/>
    <w:rsid w:val="00DB4F93"/>
    <w:rsid w:val="00DB5996"/>
    <w:rsid w:val="00DE13F6"/>
    <w:rsid w:val="00E50744"/>
    <w:rsid w:val="00E564A8"/>
    <w:rsid w:val="00E671CB"/>
    <w:rsid w:val="00EB4D81"/>
    <w:rsid w:val="00EE1DB6"/>
    <w:rsid w:val="00EE3342"/>
    <w:rsid w:val="00EF282D"/>
    <w:rsid w:val="00F33603"/>
    <w:rsid w:val="1C7C07CC"/>
    <w:rsid w:val="4CEFBAD1"/>
    <w:rsid w:val="55FFAF20"/>
    <w:rsid w:val="6FB774CE"/>
    <w:rsid w:val="79FE7CE9"/>
    <w:rsid w:val="7BFB744D"/>
    <w:rsid w:val="7EDE425C"/>
    <w:rsid w:val="7FA7F983"/>
    <w:rsid w:val="7FFA700D"/>
    <w:rsid w:val="7FFF3BCB"/>
    <w:rsid w:val="95BFB93B"/>
    <w:rsid w:val="AB5F7921"/>
    <w:rsid w:val="B5FF2BE3"/>
    <w:rsid w:val="BF5E0B25"/>
    <w:rsid w:val="DDFF6104"/>
    <w:rsid w:val="F8FF0DDA"/>
    <w:rsid w:val="F9FD041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guest/C:\dsoa\wdzx97.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wdzx97.dot</Template>
  <Company>Lenovo (Beijing) Limited</Company>
  <Pages>5</Pages>
  <Words>535</Words>
  <Characters>3055</Characters>
  <Lines>25</Lines>
  <Paragraphs>7</Paragraphs>
  <TotalTime>6</TotalTime>
  <ScaleCrop>false</ScaleCrop>
  <LinksUpToDate>false</LinksUpToDate>
  <CharactersWithSpaces>3583</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2022-01-24T11:46:00Z</dcterms:created>
  <dc:creator>张新(拟稿人校对)</dc:creator>
  <cp:lastModifiedBy>张新:拟稿人</cp:lastModifiedBy>
  <dcterms:modified xsi:type="dcterms:W3CDTF">2024-01-05T10:55:48Z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ies>
</file>