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widowControl/>
        <w:shd w:val="clear" w:color="auto" w:fill="FFFFFF"/>
        <w:jc w:val="center"/>
        <w:rPr>
          <w:rFonts w:ascii="宋体" w:hAnsi="宋体" w:cs="宋体"/>
          <w:kern w:val="0"/>
          <w:sz w:val="24"/>
          <w:szCs w:val="24"/>
        </w:rPr>
      </w:pPr>
      <w:r>
        <w:rPr>
          <w:rFonts w:hint="eastAsia" w:ascii="宋体" w:hAnsi="宋体" w:eastAsia="宋体" w:cs="宋体"/>
          <w:b/>
          <w:bCs/>
          <w:kern w:val="0"/>
          <w:sz w:val="36"/>
          <w:szCs w:val="36"/>
        </w:rPr>
        <w:t>天津市气象局202</w:t>
      </w:r>
      <w:r>
        <w:rPr>
          <w:rFonts w:hint="eastAsia" w:ascii="宋体" w:hAnsi="宋体" w:eastAsia="宋体" w:cs="宋体"/>
          <w:b/>
          <w:bCs/>
          <w:kern w:val="0"/>
          <w:sz w:val="36"/>
          <w:szCs w:val="36"/>
          <w:lang w:val="en-US" w:eastAsia="zh-CN"/>
        </w:rPr>
        <w:t>4</w:t>
      </w:r>
      <w:r>
        <w:rPr>
          <w:rFonts w:hint="eastAsia" w:ascii="宋体" w:hAnsi="宋体" w:eastAsia="宋体" w:cs="宋体"/>
          <w:b/>
          <w:bCs/>
          <w:kern w:val="0"/>
          <w:sz w:val="36"/>
          <w:szCs w:val="36"/>
        </w:rPr>
        <w:t>年政府信息公开工作年度报告</w:t>
      </w:r>
    </w:p>
    <w:p>
      <w:pPr>
        <w:widowControl/>
        <w:shd w:val="clear" w:color="auto" w:fill="FFFFFF"/>
        <w:ind w:firstLine="480"/>
        <w:rPr>
          <w:rFonts w:ascii="宋体" w:hAnsi="宋体" w:cs="宋体"/>
          <w:kern w:val="0"/>
          <w:sz w:val="24"/>
          <w:szCs w:val="24"/>
        </w:rPr>
      </w:pPr>
    </w:p>
    <w:p>
      <w:pPr>
        <w:widowControl/>
        <w:shd w:val="clear" w:color="auto" w:fill="FFFFFF"/>
        <w:adjustRightInd w:val="0"/>
        <w:snapToGrid w:val="0"/>
        <w:spacing w:line="500" w:lineRule="exact"/>
        <w:ind w:firstLine="482"/>
        <w:rPr>
          <w:rFonts w:cs="宋体" w:asciiTheme="minorEastAsia" w:hAnsiTheme="minorEastAsia"/>
          <w:kern w:val="0"/>
          <w:sz w:val="24"/>
          <w:szCs w:val="24"/>
        </w:rPr>
      </w:pPr>
      <w:r>
        <w:rPr>
          <w:rFonts w:hint="eastAsia" w:cs="宋体" w:asciiTheme="minorEastAsia" w:hAnsiTheme="minorEastAsia"/>
          <w:kern w:val="0"/>
          <w:sz w:val="24"/>
          <w:szCs w:val="24"/>
        </w:rPr>
        <w:t>本报告是根据《中华人民共和国政府信息公开条例》（以下称《条例》）、《国务院办公厅政府信息与政务公开办公室关于工作年度报告有关事项的通知》和中国气象局有关要求编制。本报告包括总体情况、主动公开政府信息情况、收到和处理政府信息公开申请情况、政府信息公开行政复议、行政诉讼情况、存在的主要问题及改进情况等方面。</w:t>
      </w:r>
    </w:p>
    <w:p>
      <w:pPr>
        <w:widowControl/>
        <w:shd w:val="clear" w:color="auto" w:fill="FFFFFF"/>
        <w:adjustRightInd w:val="0"/>
        <w:snapToGrid w:val="0"/>
        <w:spacing w:line="500" w:lineRule="exact"/>
        <w:ind w:firstLine="482"/>
        <w:rPr>
          <w:rFonts w:cs="宋体" w:asciiTheme="minorEastAsia" w:hAnsiTheme="minorEastAsia"/>
          <w:kern w:val="0"/>
          <w:sz w:val="24"/>
          <w:szCs w:val="24"/>
        </w:rPr>
      </w:pPr>
      <w:r>
        <w:rPr>
          <w:rFonts w:hint="eastAsia" w:cs="宋体" w:asciiTheme="minorEastAsia" w:hAnsiTheme="minorEastAsia"/>
          <w:kern w:val="0"/>
          <w:sz w:val="24"/>
          <w:szCs w:val="24"/>
        </w:rPr>
        <w:t>本报告中所列数据的统计期限自202</w:t>
      </w:r>
      <w:r>
        <w:rPr>
          <w:rFonts w:hint="eastAsia" w:cs="宋体" w:asciiTheme="minorEastAsia" w:hAnsiTheme="minorEastAsia"/>
          <w:kern w:val="0"/>
          <w:sz w:val="24"/>
          <w:szCs w:val="24"/>
          <w:lang w:val="en-US" w:eastAsia="zh-CN"/>
        </w:rPr>
        <w:t>4</w:t>
      </w:r>
      <w:r>
        <w:rPr>
          <w:rFonts w:hint="eastAsia" w:cs="宋体" w:asciiTheme="minorEastAsia" w:hAnsiTheme="minorEastAsia"/>
          <w:kern w:val="0"/>
          <w:sz w:val="24"/>
          <w:szCs w:val="24"/>
        </w:rPr>
        <w:t>年1月1日起至202</w:t>
      </w:r>
      <w:r>
        <w:rPr>
          <w:rFonts w:hint="eastAsia" w:cs="宋体" w:asciiTheme="minorEastAsia" w:hAnsiTheme="minorEastAsia"/>
          <w:kern w:val="0"/>
          <w:sz w:val="24"/>
          <w:szCs w:val="24"/>
          <w:lang w:val="en-US" w:eastAsia="zh-CN"/>
        </w:rPr>
        <w:t>4</w:t>
      </w:r>
      <w:r>
        <w:rPr>
          <w:rFonts w:hint="eastAsia" w:cs="宋体" w:asciiTheme="minorEastAsia" w:hAnsiTheme="minorEastAsia"/>
          <w:kern w:val="0"/>
          <w:sz w:val="24"/>
          <w:szCs w:val="24"/>
        </w:rPr>
        <w:t>年12月31日止。本报告的电子版可以在天津市气象局网站下载。如对本年度报告有任何疑问，请与天津市气象局办公室联系（地址：天津市河西区气象台路100号；邮编：300074；联系电话：022-23345802）。</w:t>
      </w:r>
    </w:p>
    <w:p>
      <w:pPr>
        <w:widowControl/>
        <w:shd w:val="clear" w:color="auto" w:fill="FFFFFF"/>
        <w:adjustRightInd w:val="0"/>
        <w:snapToGrid w:val="0"/>
        <w:spacing w:line="500" w:lineRule="exact"/>
        <w:ind w:firstLine="482"/>
        <w:rPr>
          <w:rFonts w:ascii="黑体" w:hAnsi="黑体" w:eastAsia="黑体" w:cs="宋体"/>
          <w:kern w:val="0"/>
          <w:sz w:val="24"/>
          <w:szCs w:val="24"/>
        </w:rPr>
      </w:pPr>
      <w:r>
        <w:rPr>
          <w:rFonts w:hint="eastAsia" w:ascii="黑体" w:hAnsi="黑体" w:eastAsia="黑体" w:cs="宋体"/>
          <w:bCs/>
          <w:kern w:val="0"/>
          <w:sz w:val="24"/>
          <w:szCs w:val="24"/>
        </w:rPr>
        <w:t>一、总体情况</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天津市气象局以习近平新时代中国特色社会主义思想为指导，认真学习贯彻党的二十大精神，落实中国气象局、市委市政府关于政务公开工作的部署，紧紧围绕全市气象部门中心工作和公众对气象工作的关切，坚持统筹兼顾、突出重点，着力提升政务公开质量，全市气象部门政府信息公开工作质量和水平得到不断提升。</w:t>
      </w:r>
    </w:p>
    <w:p>
      <w:pPr>
        <w:widowControl/>
        <w:shd w:val="clear" w:color="auto" w:fill="FFFFFF"/>
        <w:adjustRightInd w:val="0"/>
        <w:snapToGrid w:val="0"/>
        <w:spacing w:line="500" w:lineRule="exact"/>
        <w:ind w:firstLine="482"/>
        <w:rPr>
          <w:rFonts w:ascii="楷体_GB2312" w:hAnsi="宋体" w:eastAsia="楷体_GB2312" w:cs="宋体"/>
          <w:kern w:val="0"/>
          <w:sz w:val="24"/>
          <w:szCs w:val="24"/>
        </w:rPr>
      </w:pPr>
      <w:r>
        <w:rPr>
          <w:rFonts w:hint="eastAsia" w:ascii="楷体_GB2312" w:hAnsi="宋体" w:eastAsia="楷体_GB2312" w:cs="宋体"/>
          <w:kern w:val="0"/>
          <w:sz w:val="24"/>
          <w:szCs w:val="24"/>
        </w:rPr>
        <w:t>（一）强化政务公开工作组织领导</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ascii="宋体" w:hAnsi="宋体" w:eastAsia="宋体" w:cs="宋体"/>
          <w:kern w:val="0"/>
          <w:sz w:val="24"/>
          <w:szCs w:val="24"/>
        </w:rPr>
        <w:t>天津市气象局</w:t>
      </w:r>
      <w:r>
        <w:rPr>
          <w:rFonts w:hint="eastAsia" w:ascii="宋体" w:hAnsi="宋体" w:eastAsia="宋体" w:cs="宋体"/>
          <w:kern w:val="0"/>
          <w:sz w:val="24"/>
          <w:szCs w:val="24"/>
        </w:rPr>
        <w:t>高度重视政府信息公开工作，一是及时传达贯彻中国气象局政府信息公开工作有关文件精神，研究部署政府信息公开工作，建立了分管领导主抓、办公室具体负责、各处室密切配合的工作机制；二是加强政务公开与气象现代化、机关效能、依法行政等相关工作的协同配合，多措并举推进政务公开工作水平稳步提升；三是结合工作实际进一步完善政府信息公开指南内容，细化公开范围和目录，方便公众查阅和获取；四是督促强化保密审查工作，切实落实保密审查责任，有效保障了国家秘密安全。</w:t>
      </w:r>
    </w:p>
    <w:p>
      <w:pPr>
        <w:widowControl/>
        <w:shd w:val="clear" w:color="auto" w:fill="FFFFFF"/>
        <w:adjustRightInd w:val="0"/>
        <w:snapToGrid w:val="0"/>
        <w:spacing w:line="500" w:lineRule="exact"/>
        <w:ind w:firstLine="482"/>
        <w:rPr>
          <w:rFonts w:hint="eastAsia" w:ascii="楷体_GB2312" w:hAnsi="宋体" w:eastAsia="楷体_GB2312" w:cs="宋体"/>
          <w:kern w:val="0"/>
          <w:sz w:val="24"/>
          <w:szCs w:val="24"/>
        </w:rPr>
      </w:pPr>
      <w:r>
        <w:rPr>
          <w:rFonts w:hint="eastAsia" w:ascii="楷体_GB2312" w:hAnsi="宋体" w:eastAsia="楷体_GB2312" w:cs="宋体"/>
          <w:kern w:val="0"/>
          <w:sz w:val="24"/>
          <w:szCs w:val="24"/>
        </w:rPr>
        <w:t>（二）公开的主要内容和形式</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以来，天津市气象局通过门户网站、微博等渠道，广泛公开我市气象部门相关部门概况、领导信息、公开办法、公开指南、公开目录、权责清单、公共服务、公众留言、局长信箱等内容，并积极回应社会关切，及时发布社会企业和群众所需的相关信息。</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b/>
          <w:kern w:val="0"/>
          <w:sz w:val="24"/>
          <w:szCs w:val="24"/>
        </w:rPr>
        <w:t>1.部门网站</w:t>
      </w:r>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天津市气象局按照气象部门政府信息公开工作有关要求，在部门网站规范设置了“政府信息公开”栏目，该栏目下设“政府信息公开指南”“政府信息公开制度”“法定主动公开内容”“依申请公开”“政府信息公开年报”等子栏目，公众可通过专栏查阅和检索天津市气象局主动公开信息内容，并下载依申请公开表格，也可在线进行依申请公开。天津市气象局门户网站及时对</w:t>
      </w:r>
      <w:r>
        <w:rPr>
          <w:rFonts w:hint="eastAsia" w:ascii="宋体" w:hAnsi="宋体" w:eastAsia="宋体" w:cs="宋体"/>
          <w:kern w:val="0"/>
          <w:sz w:val="24"/>
          <w:szCs w:val="24"/>
          <w:lang w:eastAsia="zh-CN"/>
        </w:rPr>
        <w:t>学习贯彻习近平新时代中国特色社会主义思想主题教育、</w:t>
      </w:r>
      <w:r>
        <w:rPr>
          <w:rFonts w:hint="eastAsia" w:ascii="宋体" w:hAnsi="宋体" w:eastAsia="宋体" w:cs="宋体"/>
          <w:kern w:val="0"/>
          <w:sz w:val="24"/>
          <w:szCs w:val="24"/>
        </w:rPr>
        <w:t>汛期气象服务、灾害天气预报服务和“3·23世界气象日”“5·12防灾减灾日”等活动进行了宣传。在门户网站开设“高温天气”栏目，每年6至9月发布全市高温天气统计数据，为劳动者及时享受高温福利和补贴提供便利。</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b/>
          <w:kern w:val="0"/>
          <w:sz w:val="24"/>
          <w:szCs w:val="24"/>
        </w:rPr>
        <w:t>2.新闻媒体</w:t>
      </w:r>
      <w:r>
        <w:rPr>
          <w:rFonts w:hint="eastAsia" w:ascii="宋体" w:hAnsi="宋体" w:eastAsia="宋体" w:cs="宋体"/>
          <w:kern w:val="0"/>
          <w:sz w:val="24"/>
          <w:szCs w:val="24"/>
        </w:rPr>
        <w:t>。组织“绿镜头·发现中国——中央媒体走进天津”“牢记嘱托 创新奋进”“新春走基层”等重大宣传活动共计3次，获新华社、人民日报、光明日报、农民日报、天津日报、天津电视台等20余家中央及地方主流媒体，聚焦天津海洋、港口、健康、建筑节能、生态旅游、现代农业、防灾减灾等特色及亮点工作开展报道，全网发稿300余篇/次。天津气象工作首次登上CCTV1《新闻联播》和CCTV13《新闻直播间》栏目。向社会媒体提供新闻通稿308条，组织参加市政府汛期新闻发布会1次，天津电视台《天津新闻》节目7次报道气象工作，《今晚报》1次整版宣传气象工作。组织媒体集中采访102次，社会媒体累计发布气象相关新闻上千次，学习强国刊发天津气象工作稿件51篇。</w:t>
      </w:r>
    </w:p>
    <w:p>
      <w:pPr>
        <w:widowControl/>
        <w:shd w:val="clear" w:color="auto" w:fill="FFFFFF"/>
        <w:adjustRightInd w:val="0"/>
        <w:snapToGrid w:val="0"/>
        <w:spacing w:line="500" w:lineRule="exact"/>
        <w:ind w:firstLine="482"/>
        <w:rPr>
          <w:rFonts w:hint="eastAsia" w:ascii="黑体" w:hAnsi="黑体" w:eastAsia="黑体" w:cs="宋体"/>
          <w:bCs/>
          <w:kern w:val="0"/>
          <w:sz w:val="24"/>
          <w:szCs w:val="24"/>
          <w:lang w:eastAsia="zh-CN"/>
        </w:rPr>
      </w:pPr>
      <w:r>
        <w:rPr>
          <w:rFonts w:hint="eastAsia" w:ascii="黑体" w:hAnsi="黑体" w:eastAsia="黑体" w:cs="宋体"/>
          <w:bCs/>
          <w:kern w:val="0"/>
          <w:sz w:val="24"/>
          <w:szCs w:val="24"/>
          <w:lang w:eastAsia="zh-CN"/>
        </w:rPr>
        <w:t>二、主动公开政府信息情况</w:t>
      </w:r>
    </w:p>
    <w:p>
      <w:pPr>
        <w:widowControl/>
        <w:shd w:val="clear" w:color="auto" w:fill="FFFFFF"/>
        <w:ind w:firstLine="480"/>
        <w:rPr>
          <w:rFonts w:ascii="宋体" w:hAnsi="宋体" w:cs="宋体"/>
          <w:kern w:val="0"/>
          <w:sz w:val="24"/>
          <w:szCs w:val="24"/>
        </w:rPr>
      </w:pPr>
    </w:p>
    <w:p>
      <w:pPr>
        <w:widowControl/>
        <w:shd w:val="clear" w:color="auto" w:fill="FFFFFF"/>
        <w:ind w:firstLine="480"/>
        <w:rPr>
          <w:rFonts w:ascii="宋体" w:hAnsi="宋体" w:cs="宋体"/>
          <w:kern w:val="0"/>
          <w:sz w:val="24"/>
          <w:szCs w:val="24"/>
        </w:rPr>
      </w:pPr>
    </w:p>
    <w:tbl>
      <w:tblPr>
        <w:tblStyle w:val="8"/>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Calibri" w:hAnsi="Calibri" w:eastAsia="宋体" w:cs="宋体"/>
                <w:kern w:val="0"/>
                <w:szCs w:val="21"/>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0"/>
                <w:szCs w:val="20"/>
              </w:rPr>
              <w:t>　　</w:t>
            </w:r>
            <w:r>
              <w:rPr>
                <w:rFonts w:hint="eastAsia" w:ascii="宋体" w:hAnsi="宋体" w:eastAsia="宋体" w:cs="宋体"/>
                <w:color w:val="000000" w:themeColor="text1"/>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eastAsia="zh-CN"/>
              </w:rPr>
            </w:pPr>
            <w:r>
              <w:rPr>
                <w:rFonts w:ascii="Calibri" w:hAnsi="Calibri" w:eastAsia="宋体" w:cs="宋体"/>
                <w:kern w:val="0"/>
                <w:szCs w:val="21"/>
              </w:rPr>
              <w:t> </w:t>
            </w:r>
            <w:r>
              <w:rPr>
                <w:rFonts w:hint="eastAsia" w:ascii="宋体" w:hAnsi="宋体" w:cs="宋体"/>
                <w:kern w:val="0"/>
                <w:sz w:val="24"/>
                <w:szCs w:val="24"/>
                <w:lang w:val="en-US" w:eastAsia="zh-CN"/>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cs="宋体" w:eastAsiaTheme="minorEastAsia"/>
                <w:kern w:val="0"/>
                <w:sz w:val="24"/>
                <w:szCs w:val="24"/>
                <w:lang w:val="en-US" w:eastAsia="zh-CN"/>
              </w:rPr>
            </w:pPr>
            <w:r>
              <w:rPr>
                <w:rFonts w:hint="eastAsia" w:ascii="宋体" w:hAnsi="宋体" w:eastAsia="宋体" w:cs="宋体"/>
                <w:kern w:val="0"/>
                <w:sz w:val="20"/>
                <w:szCs w:val="20"/>
                <w:lang w:val="en-US" w:eastAsia="zh-CN"/>
              </w:rPr>
              <w:t>502</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r>
    </w:tbl>
    <w:p>
      <w:pPr>
        <w:widowControl/>
        <w:shd w:val="clear" w:color="auto" w:fill="FFFFFF"/>
        <w:ind w:firstLine="480"/>
        <w:rPr>
          <w:rFonts w:ascii="宋体" w:hAnsi="宋体" w:eastAsia="宋体" w:cs="宋体"/>
          <w:b/>
          <w:bCs/>
          <w:kern w:val="0"/>
          <w:sz w:val="24"/>
          <w:szCs w:val="24"/>
        </w:rPr>
      </w:pPr>
    </w:p>
    <w:p>
      <w:pPr>
        <w:widowControl/>
        <w:shd w:val="clear" w:color="auto" w:fill="FFFFFF"/>
        <w:adjustRightInd w:val="0"/>
        <w:snapToGrid w:val="0"/>
        <w:spacing w:line="500" w:lineRule="exact"/>
        <w:ind w:firstLine="482"/>
        <w:rPr>
          <w:rFonts w:hint="eastAsia" w:ascii="黑体" w:hAnsi="黑体" w:eastAsia="黑体" w:cs="宋体"/>
          <w:bCs/>
          <w:kern w:val="0"/>
          <w:sz w:val="24"/>
          <w:szCs w:val="24"/>
          <w:lang w:eastAsia="zh-CN"/>
        </w:rPr>
      </w:pPr>
      <w:r>
        <w:rPr>
          <w:rFonts w:hint="eastAsia" w:ascii="黑体" w:hAnsi="黑体" w:eastAsia="黑体" w:cs="宋体"/>
          <w:bCs/>
          <w:kern w:val="0"/>
          <w:sz w:val="24"/>
          <w:szCs w:val="24"/>
          <w:lang w:eastAsia="zh-CN"/>
        </w:rPr>
        <w:t>三、收到和处理政府信息公开申请情况</w:t>
      </w:r>
    </w:p>
    <w:p>
      <w:pPr>
        <w:widowControl/>
        <w:shd w:val="clear" w:color="auto" w:fill="FFFFFF"/>
        <w:ind w:firstLine="480"/>
        <w:rPr>
          <w:rFonts w:ascii="宋体" w:hAnsi="宋体" w:cs="宋体"/>
          <w:kern w:val="0"/>
          <w:sz w:val="24"/>
          <w:szCs w:val="24"/>
        </w:rPr>
      </w:pPr>
    </w:p>
    <w:p>
      <w:pPr>
        <w:widowControl/>
        <w:shd w:val="clear" w:color="auto" w:fill="FFFFFF"/>
        <w:ind w:firstLine="480"/>
        <w:rPr>
          <w:rFonts w:ascii="宋体" w:hAnsi="宋体" w:cs="宋体"/>
          <w:kern w:val="0"/>
          <w:sz w:val="24"/>
          <w:szCs w:val="24"/>
        </w:rPr>
      </w:pPr>
    </w:p>
    <w:tbl>
      <w:tblPr>
        <w:tblStyle w:val="8"/>
        <w:tblW w:w="97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769"/>
        <w:gridCol w:w="943"/>
        <w:gridCol w:w="3220"/>
        <w:gridCol w:w="688"/>
        <w:gridCol w:w="688"/>
        <w:gridCol w:w="688"/>
        <w:gridCol w:w="688"/>
        <w:gridCol w:w="688"/>
        <w:gridCol w:w="688"/>
        <w:gridCol w:w="68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vMerge w:val="restart"/>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816" w:type="dxa"/>
            <w:gridSpan w:val="7"/>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申请人情况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gridSpan w:val="3"/>
            <w:vMerge w:val="continue"/>
            <w:vAlign w:val="center"/>
          </w:tcPr>
          <w:p>
            <w:pPr>
              <w:widowControl/>
              <w:jc w:val="left"/>
              <w:rPr>
                <w:rFonts w:ascii="宋体" w:hAnsi="宋体" w:cs="宋体"/>
                <w:kern w:val="0"/>
                <w:sz w:val="24"/>
                <w:szCs w:val="24"/>
              </w:rPr>
            </w:pPr>
          </w:p>
        </w:tc>
        <w:tc>
          <w:tcPr>
            <w:tcW w:w="688" w:type="dxa"/>
            <w:vMerge w:val="restart"/>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自然人</w:t>
            </w:r>
          </w:p>
        </w:tc>
        <w:tc>
          <w:tcPr>
            <w:tcW w:w="3440" w:type="dxa"/>
            <w:gridSpan w:val="5"/>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法人或其他组织</w:t>
            </w:r>
          </w:p>
        </w:tc>
        <w:tc>
          <w:tcPr>
            <w:tcW w:w="688" w:type="dxa"/>
            <w:vMerge w:val="restart"/>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gridSpan w:val="3"/>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企业</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机构</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社会公益组织</w:t>
            </w:r>
          </w:p>
        </w:tc>
        <w:tc>
          <w:tcPr>
            <w:tcW w:w="688" w:type="dxa"/>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法律服务机构</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p>
        </w:tc>
        <w:tc>
          <w:tcPr>
            <w:tcW w:w="0" w:type="auto"/>
            <w:vMerge w:val="continue"/>
            <w:vAlign w:val="center"/>
          </w:tcPr>
          <w:p>
            <w:pPr>
              <w:widowControl/>
              <w:jc w:val="left"/>
              <w:rPr>
                <w:rFonts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一、本年新收政府信息公开申请数量</w:t>
            </w:r>
          </w:p>
        </w:tc>
        <w:tc>
          <w:tcPr>
            <w:tcW w:w="688" w:type="dxa"/>
            <w:tcMar>
              <w:top w:w="0" w:type="dxa"/>
              <w:left w:w="57" w:type="dxa"/>
              <w:bottom w:w="0" w:type="dxa"/>
              <w:right w:w="57" w:type="dxa"/>
            </w:tcMar>
            <w:vAlign w:val="center"/>
          </w:tcPr>
          <w:p>
            <w:pPr>
              <w:widowControl/>
              <w:jc w:val="center"/>
              <w:rPr>
                <w:rFonts w:hint="eastAsia" w:ascii="宋体" w:hAnsi="宋体" w:cs="宋体" w:eastAsiaTheme="minorEastAsia"/>
                <w:kern w:val="0"/>
                <w:sz w:val="24"/>
                <w:szCs w:val="24"/>
                <w:lang w:eastAsia="zh-CN"/>
              </w:rPr>
            </w:pPr>
            <w:r>
              <w:rPr>
                <w:rFonts w:hint="eastAsia" w:ascii="Calibri" w:hAnsi="Calibri" w:eastAsia="宋体" w:cs="宋体"/>
                <w:color w:val="000000" w:themeColor="text1"/>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hint="eastAsia" w:ascii="宋体" w:hAnsi="宋体" w:cs="宋体" w:eastAsiaTheme="minorEastAsia"/>
                <w:kern w:val="0"/>
                <w:sz w:val="24"/>
                <w:szCs w:val="24"/>
                <w:lang w:eastAsia="zh-CN"/>
              </w:rPr>
            </w:pPr>
            <w:r>
              <w:rPr>
                <w:rFonts w:hint="eastAsia" w:ascii="Calibri" w:hAnsi="Calibri" w:eastAsia="宋体" w:cs="宋体"/>
                <w:color w:val="000000" w:themeColor="text1"/>
                <w:kern w:val="0"/>
                <w:sz w:val="20"/>
                <w:szCs w:val="20"/>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二、上年结转政府信息公开申请数量</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769"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三、本年度办理结果</w:t>
            </w: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（一）予以公开</w:t>
            </w:r>
          </w:p>
        </w:tc>
        <w:tc>
          <w:tcPr>
            <w:tcW w:w="688" w:type="dxa"/>
            <w:tcMar>
              <w:top w:w="0" w:type="dxa"/>
              <w:left w:w="57" w:type="dxa"/>
              <w:bottom w:w="0" w:type="dxa"/>
              <w:right w:w="57" w:type="dxa"/>
            </w:tcMar>
            <w:vAlign w:val="center"/>
          </w:tcPr>
          <w:p>
            <w:pPr>
              <w:widowControl/>
              <w:jc w:val="center"/>
              <w:rPr>
                <w:rFonts w:hint="eastAsia" w:ascii="宋体" w:hAnsi="宋体" w:cs="宋体" w:eastAsiaTheme="minorEastAsia"/>
                <w:kern w:val="0"/>
                <w:sz w:val="24"/>
                <w:szCs w:val="24"/>
                <w:lang w:eastAsia="zh-CN"/>
              </w:rPr>
            </w:pPr>
            <w:r>
              <w:rPr>
                <w:rFonts w:hint="eastAsia" w:ascii="Calibri" w:hAnsi="Calibri" w:eastAsia="宋体" w:cs="宋体"/>
                <w:color w:val="000000" w:themeColor="text1"/>
                <w:kern w:val="0"/>
                <w:sz w:val="20"/>
                <w:szCs w:val="20"/>
                <w:lang w:val="en-US" w:eastAsia="zh-CN"/>
              </w:rPr>
              <w:t>2</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hint="eastAsia" w:ascii="宋体" w:hAnsi="宋体" w:cs="宋体" w:eastAsiaTheme="minorEastAsia"/>
                <w:kern w:val="0"/>
                <w:sz w:val="24"/>
                <w:szCs w:val="24"/>
                <w:lang w:eastAsia="zh-CN"/>
              </w:rPr>
            </w:pPr>
            <w:r>
              <w:rPr>
                <w:rFonts w:hint="eastAsia" w:ascii="Calibri" w:hAnsi="Calibri" w:eastAsia="宋体" w:cs="宋体"/>
                <w:color w:val="000000" w:themeColor="text1"/>
                <w:kern w:val="0"/>
                <w:sz w:val="20"/>
                <w:szCs w:val="20"/>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Calibri" w:hAnsi="Calibri" w:eastAsia="宋体" w:cs="宋体"/>
                <w:kern w:val="0"/>
                <w:sz w:val="20"/>
                <w:szCs w:val="20"/>
              </w:rP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（三）不予公开</w:t>
            </w: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（四）无法提供</w:t>
            </w: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1.本机关不掌握相关政府信息</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2.没有现成信息需要另行制作</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3.补正后申请内容仍不明确</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（五）不予处理</w:t>
            </w: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1.信访举报投诉类申请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2.重复申请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3.要求提供公开出版物</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4.无正当理由大量反复申请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9" w:hRule="atLeast"/>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5.要求行政机关确认或重新出具已获取信息</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943" w:type="dxa"/>
            <w:vMerge w:val="restart"/>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（六）其他处理</w:t>
            </w: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1.申请人无正当理由逾期不补正、行政机关不再处理其政府信息公开申请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2.申请人逾期未按收费通知要求缴纳费用、行政机关不再处理其政府信息公开申请</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3220" w:type="dxa"/>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3.其他</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4163" w:type="dxa"/>
            <w:gridSpan w:val="2"/>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（七）总计</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color w:val="000000" w:themeColor="text1"/>
                <w:kern w:val="0"/>
                <w:sz w:val="20"/>
                <w:szCs w:val="20"/>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4932" w:type="dxa"/>
            <w:gridSpan w:val="3"/>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四、结转下年度继续办理</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c>
          <w:tcPr>
            <w:tcW w:w="688" w:type="dxa"/>
            <w:tcMar>
              <w:top w:w="0" w:type="dxa"/>
              <w:left w:w="57" w:type="dxa"/>
              <w:bottom w:w="0" w:type="dxa"/>
              <w:right w:w="57" w:type="dxa"/>
            </w:tcMar>
            <w:vAlign w:val="center"/>
          </w:tcPr>
          <w:p>
            <w:pPr>
              <w:jc w:val="center"/>
            </w:pPr>
            <w:r>
              <w:rPr>
                <w:rFonts w:hint="eastAsia" w:ascii="Calibri" w:hAnsi="Calibri" w:eastAsia="宋体" w:cs="宋体"/>
                <w:kern w:val="0"/>
                <w:sz w:val="20"/>
                <w:szCs w:val="20"/>
              </w:rPr>
              <w:t>0</w:t>
            </w:r>
          </w:p>
        </w:tc>
      </w:tr>
    </w:tbl>
    <w:p>
      <w:pPr>
        <w:widowControl/>
        <w:shd w:val="clear" w:color="auto" w:fill="FFFFFF"/>
        <w:jc w:val="center"/>
        <w:rPr>
          <w:rFonts w:ascii="宋体" w:hAnsi="宋体" w:cs="宋体"/>
          <w:kern w:val="0"/>
          <w:sz w:val="24"/>
          <w:szCs w:val="24"/>
        </w:rPr>
      </w:pPr>
    </w:p>
    <w:p>
      <w:pPr>
        <w:widowControl/>
        <w:shd w:val="clear" w:color="auto" w:fill="FFFFFF"/>
        <w:adjustRightInd w:val="0"/>
        <w:snapToGrid w:val="0"/>
        <w:spacing w:line="500" w:lineRule="exact"/>
        <w:ind w:firstLine="482"/>
        <w:rPr>
          <w:rFonts w:hint="eastAsia" w:ascii="黑体" w:hAnsi="黑体" w:eastAsia="黑体" w:cs="宋体"/>
          <w:bCs/>
          <w:kern w:val="0"/>
          <w:sz w:val="24"/>
          <w:szCs w:val="24"/>
          <w:lang w:eastAsia="zh-CN"/>
        </w:rPr>
      </w:pPr>
      <w:r>
        <w:rPr>
          <w:rFonts w:hint="eastAsia" w:ascii="黑体" w:hAnsi="黑体" w:eastAsia="黑体" w:cs="宋体"/>
          <w:bCs/>
          <w:kern w:val="0"/>
          <w:sz w:val="24"/>
          <w:szCs w:val="24"/>
          <w:lang w:eastAsia="zh-CN"/>
        </w:rPr>
        <w:t>四、政府信息公开行政复议、行政诉讼情况</w:t>
      </w:r>
    </w:p>
    <w:p>
      <w:pPr>
        <w:widowControl/>
        <w:shd w:val="clear" w:color="auto" w:fill="FFFFFF"/>
        <w:jc w:val="center"/>
        <w:rPr>
          <w:rFonts w:ascii="宋体" w:hAnsi="宋体" w:cs="宋体"/>
          <w:kern w:val="0"/>
          <w:sz w:val="24"/>
          <w:szCs w:val="24"/>
        </w:rPr>
      </w:pPr>
    </w:p>
    <w:tbl>
      <w:tblPr>
        <w:tblStyle w:val="8"/>
        <w:tblW w:w="97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3250"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行政复议</w:t>
            </w:r>
          </w:p>
        </w:tc>
        <w:tc>
          <w:tcPr>
            <w:tcW w:w="6498" w:type="dxa"/>
            <w:gridSpan w:val="10"/>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结果维持</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vMerge w:val="restart"/>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c>
          <w:tcPr>
            <w:tcW w:w="3248"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未经复议直接起诉</w:t>
            </w:r>
          </w:p>
        </w:tc>
        <w:tc>
          <w:tcPr>
            <w:tcW w:w="3250" w:type="dxa"/>
            <w:gridSpan w:val="5"/>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0" w:type="auto"/>
            <w:vMerge w:val="continue"/>
            <w:vAlign w:val="center"/>
          </w:tcPr>
          <w:p>
            <w:pPr>
              <w:widowControl/>
              <w:jc w:val="left"/>
              <w:rPr>
                <w:rFonts w:ascii="宋体" w:hAnsi="宋体" w:cs="宋体"/>
                <w:kern w:val="0"/>
                <w:sz w:val="24"/>
                <w:szCs w:val="24"/>
              </w:rPr>
            </w:pP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2" w:hRule="atLeast"/>
          <w:jc w:val="center"/>
        </w:trPr>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49"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0</w:t>
            </w:r>
          </w:p>
        </w:tc>
        <w:tc>
          <w:tcPr>
            <w:tcW w:w="650" w:type="dxa"/>
            <w:tcMar>
              <w:top w:w="0" w:type="dxa"/>
              <w:left w:w="108" w:type="dxa"/>
              <w:bottom w:w="0" w:type="dxa"/>
              <w:right w:w="108" w:type="dxa"/>
            </w:tcMar>
            <w:vAlign w:val="center"/>
          </w:tcPr>
          <w:p>
            <w:pPr>
              <w:widowControl/>
              <w:ind w:firstLine="240" w:firstLineChars="100"/>
              <w:jc w:val="center"/>
              <w:rPr>
                <w:rFonts w:ascii="宋体" w:hAnsi="宋体" w:cs="宋体"/>
                <w:kern w:val="0"/>
                <w:sz w:val="24"/>
                <w:szCs w:val="24"/>
              </w:rPr>
            </w:pPr>
            <w:r>
              <w:rPr>
                <w:rFonts w:hint="eastAsia" w:ascii="宋体" w:hAnsi="宋体" w:cs="宋体"/>
                <w:kern w:val="0"/>
                <w:sz w:val="24"/>
                <w:szCs w:val="24"/>
              </w:rPr>
              <w:t>0</w:t>
            </w:r>
          </w:p>
        </w:tc>
      </w:tr>
    </w:tbl>
    <w:p>
      <w:pPr>
        <w:widowControl/>
        <w:shd w:val="clear" w:color="auto" w:fill="FFFFFF"/>
        <w:adjustRightInd w:val="0"/>
        <w:snapToGrid w:val="0"/>
        <w:spacing w:line="500" w:lineRule="exact"/>
        <w:ind w:firstLine="482"/>
        <w:rPr>
          <w:rFonts w:ascii="宋体" w:hAnsi="宋体" w:eastAsia="宋体" w:cs="宋体"/>
          <w:b/>
          <w:kern w:val="0"/>
          <w:sz w:val="24"/>
          <w:szCs w:val="24"/>
        </w:rPr>
      </w:pPr>
    </w:p>
    <w:p>
      <w:pPr>
        <w:widowControl/>
        <w:shd w:val="clear" w:color="auto" w:fill="FFFFFF"/>
        <w:adjustRightInd w:val="0"/>
        <w:snapToGrid w:val="0"/>
        <w:spacing w:line="500" w:lineRule="exact"/>
        <w:ind w:firstLine="482"/>
        <w:rPr>
          <w:rFonts w:ascii="宋体" w:hAnsi="宋体" w:eastAsia="宋体" w:cs="宋体"/>
          <w:b/>
          <w:kern w:val="0"/>
          <w:sz w:val="24"/>
          <w:szCs w:val="24"/>
        </w:rPr>
      </w:pPr>
      <w:r>
        <w:rPr>
          <w:rFonts w:hint="eastAsia" w:ascii="宋体" w:hAnsi="宋体" w:eastAsia="宋体" w:cs="宋体"/>
          <w:b/>
          <w:kern w:val="0"/>
          <w:sz w:val="24"/>
          <w:szCs w:val="24"/>
        </w:rPr>
        <w:t>五、存在的主要问题及改进情况</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一年来，天津市气象局不断强化政府信息公开工作，改进部门网站功能，组织参加专题培训，按目录规范发布各类公开信息，取得了一定的成效，但距离上级部门的要求和社会公众的需求仍有一定差距，公众获取信息的渠道亟待进一步拓宽。下一步，天津市气象局将进一步贯彻落实《中华人民共和国政府信息公开条例》，按照中国气象局和天津市委、市政府政府信息公开工作要求，深入分析研究公众对气象部门政府信息的需求，依法提升政府信息公开工作的规范性和科学性，不断提升工作人员专业素养，促进政府信息公开水平提升。</w:t>
      </w:r>
    </w:p>
    <w:p>
      <w:pPr>
        <w:widowControl/>
        <w:shd w:val="clear" w:color="auto" w:fill="FFFFFF"/>
        <w:adjustRightInd w:val="0"/>
        <w:snapToGrid w:val="0"/>
        <w:spacing w:line="500" w:lineRule="exact"/>
        <w:ind w:firstLine="482"/>
        <w:rPr>
          <w:rFonts w:ascii="宋体" w:hAnsi="宋体" w:eastAsia="宋体" w:cs="宋体"/>
          <w:b/>
          <w:kern w:val="0"/>
          <w:sz w:val="24"/>
          <w:szCs w:val="24"/>
        </w:rPr>
      </w:pPr>
      <w:r>
        <w:rPr>
          <w:rFonts w:hint="eastAsia" w:ascii="宋体" w:hAnsi="宋体" w:eastAsia="宋体" w:cs="宋体"/>
          <w:b/>
          <w:kern w:val="0"/>
          <w:sz w:val="24"/>
          <w:szCs w:val="24"/>
        </w:rPr>
        <w:t>六、其他需要报告的事项</w:t>
      </w:r>
    </w:p>
    <w:p>
      <w:pPr>
        <w:widowControl/>
        <w:shd w:val="clear" w:color="auto" w:fill="FFFFFF"/>
        <w:adjustRightInd w:val="0"/>
        <w:snapToGrid w:val="0"/>
        <w:spacing w:line="500" w:lineRule="exact"/>
        <w:ind w:firstLine="482"/>
        <w:rPr>
          <w:rFonts w:ascii="宋体" w:hAnsi="宋体" w:eastAsia="宋体" w:cs="宋体"/>
          <w:kern w:val="0"/>
          <w:sz w:val="24"/>
          <w:szCs w:val="24"/>
        </w:rPr>
      </w:pPr>
      <w:r>
        <w:rPr>
          <w:rFonts w:hint="eastAsia" w:ascii="宋体" w:hAnsi="宋体" w:eastAsia="宋体" w:cs="宋体"/>
          <w:kern w:val="0"/>
          <w:sz w:val="24"/>
          <w:szCs w:val="24"/>
        </w:rPr>
        <w:t>无其他需要报告的事项。</w:t>
      </w:r>
    </w:p>
    <w:p>
      <w:pPr>
        <w:widowControl/>
        <w:shd w:val="clear" w:color="auto" w:fill="FFFFFF"/>
        <w:ind w:firstLine="480"/>
        <w:rPr>
          <w:rFonts w:ascii="宋体" w:hAnsi="宋体" w:eastAsia="宋体" w:cs="宋体"/>
          <w:kern w:val="0"/>
          <w:sz w:val="24"/>
          <w:szCs w:val="24"/>
        </w:rPr>
      </w:pPr>
    </w:p>
    <w:p>
      <w:pPr>
        <w:widowControl/>
        <w:shd w:val="clear" w:color="auto" w:fill="FFFFFF"/>
        <w:ind w:firstLine="480"/>
        <w:rPr>
          <w:rFonts w:ascii="宋体" w:hAnsi="宋体" w:eastAsia="宋体" w:cs="宋体"/>
          <w:kern w:val="0"/>
          <w:sz w:val="24"/>
          <w:szCs w:val="24"/>
        </w:rPr>
      </w:pPr>
    </w:p>
    <w:p>
      <w:pPr>
        <w:widowControl/>
        <w:shd w:val="clear" w:color="auto" w:fill="FFFFFF"/>
        <w:ind w:firstLine="480"/>
        <w:rPr>
          <w:rFonts w:ascii="宋体" w:hAnsi="宋体" w:eastAsia="宋体" w:cs="宋体"/>
          <w:kern w:val="0"/>
          <w:sz w:val="24"/>
          <w:szCs w:val="24"/>
        </w:rPr>
      </w:pPr>
    </w:p>
    <w:p>
      <w:pPr>
        <w:widowControl/>
        <w:shd w:val="clear" w:color="auto" w:fill="FFFFFF"/>
        <w:adjustRightInd w:val="0"/>
        <w:snapToGrid w:val="0"/>
        <w:spacing w:line="500" w:lineRule="exact"/>
        <w:ind w:firstLine="482"/>
        <w:rPr>
          <w:rFonts w:hint="eastAsia" w:ascii="宋体" w:hAnsi="宋体" w:eastAsia="宋体" w:cs="宋体"/>
          <w:kern w:val="0"/>
          <w:sz w:val="24"/>
          <w:szCs w:val="24"/>
        </w:rPr>
      </w:pPr>
    </w:p>
    <w:p>
      <w:pPr>
        <w:widowControl/>
        <w:shd w:val="clear" w:color="auto" w:fill="FFFFFF"/>
        <w:adjustRightInd w:val="0"/>
        <w:snapToGrid w:val="0"/>
        <w:spacing w:line="500" w:lineRule="exact"/>
        <w:ind w:firstLine="5589" w:firstLineChars="2329"/>
        <w:rPr>
          <w:rFonts w:hint="eastAsia" w:ascii="宋体" w:hAnsi="宋体" w:eastAsia="宋体" w:cs="宋体"/>
          <w:kern w:val="0"/>
          <w:sz w:val="24"/>
          <w:szCs w:val="24"/>
        </w:rPr>
      </w:pPr>
      <w:r>
        <w:rPr>
          <w:rFonts w:hint="eastAsia" w:ascii="宋体" w:hAnsi="宋体" w:eastAsia="宋体" w:cs="宋体"/>
          <w:kern w:val="0"/>
          <w:sz w:val="24"/>
          <w:szCs w:val="24"/>
        </w:rPr>
        <w:t>天津市气象局</w:t>
      </w:r>
    </w:p>
    <w:p>
      <w:pPr>
        <w:widowControl/>
        <w:shd w:val="clear" w:color="auto" w:fill="FFFFFF"/>
        <w:adjustRightInd w:val="0"/>
        <w:snapToGrid w:val="0"/>
        <w:spacing w:line="500" w:lineRule="exact"/>
        <w:ind w:firstLine="5589" w:firstLineChars="2329"/>
        <w:rPr>
          <w:rFonts w:hint="eastAsia" w:ascii="宋体" w:hAnsi="宋体" w:eastAsia="宋体" w:cs="宋体"/>
          <w:kern w:val="0"/>
          <w:sz w:val="24"/>
          <w:szCs w:val="24"/>
        </w:rPr>
      </w:pPr>
      <w:bookmarkStart w:id="0" w:name="_GoBack"/>
      <w:bookmarkEnd w:id="0"/>
      <w:r>
        <w:rPr>
          <w:rFonts w:hint="eastAsia" w:ascii="宋体" w:hAnsi="宋体" w:eastAsia="宋体" w:cs="宋体"/>
          <w:kern w:val="0"/>
          <w:sz w:val="24"/>
          <w:szCs w:val="24"/>
        </w:rPr>
        <w:t>202</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年1月</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0000000000000000000"/>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A4645"/>
    <w:rsid w:val="000056BC"/>
    <w:rsid w:val="000B2EE5"/>
    <w:rsid w:val="000C19B7"/>
    <w:rsid w:val="000C6891"/>
    <w:rsid w:val="001922E7"/>
    <w:rsid w:val="001C7AB2"/>
    <w:rsid w:val="002828F5"/>
    <w:rsid w:val="00307459"/>
    <w:rsid w:val="003230BA"/>
    <w:rsid w:val="003423BD"/>
    <w:rsid w:val="00343DCF"/>
    <w:rsid w:val="003875EB"/>
    <w:rsid w:val="003977CF"/>
    <w:rsid w:val="003D04E8"/>
    <w:rsid w:val="003D5407"/>
    <w:rsid w:val="00405382"/>
    <w:rsid w:val="004A4645"/>
    <w:rsid w:val="00522418"/>
    <w:rsid w:val="00534F42"/>
    <w:rsid w:val="005367AE"/>
    <w:rsid w:val="00552A85"/>
    <w:rsid w:val="005A6273"/>
    <w:rsid w:val="00620517"/>
    <w:rsid w:val="00744262"/>
    <w:rsid w:val="0076189D"/>
    <w:rsid w:val="0078033B"/>
    <w:rsid w:val="00822F3B"/>
    <w:rsid w:val="008478F9"/>
    <w:rsid w:val="008D33B7"/>
    <w:rsid w:val="00A15CAD"/>
    <w:rsid w:val="00A915EF"/>
    <w:rsid w:val="00AE11CF"/>
    <w:rsid w:val="00B4680E"/>
    <w:rsid w:val="00B76376"/>
    <w:rsid w:val="00B9795E"/>
    <w:rsid w:val="00C01936"/>
    <w:rsid w:val="00C13855"/>
    <w:rsid w:val="00C54BBB"/>
    <w:rsid w:val="00CE770F"/>
    <w:rsid w:val="00CF1440"/>
    <w:rsid w:val="00D01C05"/>
    <w:rsid w:val="00DB4F93"/>
    <w:rsid w:val="00DB5996"/>
    <w:rsid w:val="00DE13F6"/>
    <w:rsid w:val="00DE2616"/>
    <w:rsid w:val="00E318A8"/>
    <w:rsid w:val="00E45632"/>
    <w:rsid w:val="00E671CB"/>
    <w:rsid w:val="00EB4D81"/>
    <w:rsid w:val="00EE1DB6"/>
    <w:rsid w:val="00EE3342"/>
    <w:rsid w:val="00F33603"/>
    <w:rsid w:val="00F97473"/>
    <w:rsid w:val="00FD0CA4"/>
    <w:rsid w:val="330B6203"/>
    <w:rsid w:val="3DBD292A"/>
    <w:rsid w:val="3E2D1B29"/>
    <w:rsid w:val="3F7FEC28"/>
    <w:rsid w:val="4ADFEE5A"/>
    <w:rsid w:val="7BFFD2F2"/>
    <w:rsid w:val="7CA3E458"/>
    <w:rsid w:val="7CD726EE"/>
    <w:rsid w:val="7DFE2364"/>
    <w:rsid w:val="7EDB3B73"/>
    <w:rsid w:val="7F63481B"/>
    <w:rsid w:val="7FD98298"/>
    <w:rsid w:val="CB5EB12B"/>
    <w:rsid w:val="CFF74783"/>
    <w:rsid w:val="D3570549"/>
    <w:rsid w:val="F6BFA377"/>
    <w:rsid w:val="FCA6ACA1"/>
    <w:rsid w:val="FD56AC57"/>
    <w:rsid w:val="FDF110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4"/>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文字 Char"/>
    <w:basedOn w:val="9"/>
    <w:link w:val="2"/>
    <w:semiHidden/>
    <w:qFormat/>
    <w:uiPriority w:val="99"/>
    <w:rPr>
      <w:kern w:val="2"/>
      <w:sz w:val="21"/>
      <w:szCs w:val="22"/>
    </w:rPr>
  </w:style>
  <w:style w:type="character" w:customStyle="1" w:styleId="14">
    <w:name w:val="批注主题 Char"/>
    <w:basedOn w:val="13"/>
    <w:link w:val="7"/>
    <w:semiHidden/>
    <w:qFormat/>
    <w:uiPriority w:val="99"/>
    <w:rPr>
      <w:b/>
      <w:bCs/>
      <w:kern w:val="2"/>
      <w:sz w:val="21"/>
      <w:szCs w:val="22"/>
    </w:rPr>
  </w:style>
  <w:style w:type="character" w:customStyle="1" w:styleId="15">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4</Pages>
  <Words>425</Words>
  <Characters>2427</Characters>
  <Lines>20</Lines>
  <Paragraphs>5</Paragraphs>
  <TotalTime>3</TotalTime>
  <ScaleCrop>false</ScaleCrop>
  <LinksUpToDate>false</LinksUpToDate>
  <CharactersWithSpaces>2847</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2023-01-13T11:47:00Z</dcterms:created>
  <dc:creator>张新(拟稿人校对)</dc:creator>
  <cp:lastModifiedBy>zhangxin</cp:lastModifiedBy>
  <cp:lastPrinted>2023-01-13T18:15:00Z</cp:lastPrinted>
  <dcterms:modified xsi:type="dcterms:W3CDTF">2025-02-07T09:44:19Z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A7DB138E2A0728EEA26B6A674AA1995E</vt:lpwstr>
  </property>
</Properties>
</file>